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ascii="Arial" w:hAnsi="Arial" w:eastAsia="宋体"/>
          <w:b/>
          <w:bCs/>
          <w:i/>
          <w:sz w:val="24"/>
          <w:szCs w:val="24"/>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 xml:space="preserve">WG2 Meeting </w:t>
      </w:r>
      <w:r>
        <w:rPr>
          <w:rFonts w:hint="eastAsia" w:ascii="Arial" w:hAnsi="Arial" w:eastAsia="Times New Roman" w:cs="Arial"/>
          <w:b/>
          <w:sz w:val="24"/>
          <w:szCs w:val="24"/>
          <w:lang w:val="en-GB" w:eastAsia="en-US"/>
        </w:rPr>
        <w:t>#12</w:t>
      </w:r>
      <w:r>
        <w:rPr>
          <w:rFonts w:hint="eastAsia" w:ascii="Arial" w:hAnsi="Arial" w:eastAsia="宋体" w:cs="Arial"/>
          <w:b/>
          <w:sz w:val="24"/>
          <w:szCs w:val="24"/>
        </w:rPr>
        <w:t xml:space="preserve">9-bis                           </w:t>
      </w:r>
      <w:r>
        <w:rPr>
          <w:rFonts w:hint="eastAsia" w:ascii="Arial" w:hAnsi="Arial" w:eastAsia="宋体"/>
          <w:b/>
          <w:bCs/>
          <w:sz w:val="24"/>
          <w:szCs w:val="24"/>
        </w:rPr>
        <w:t>R2-2502244</w:t>
      </w:r>
      <w:r>
        <w:rPr>
          <w:rFonts w:hint="eastAsia" w:ascii="Arial" w:hAnsi="Arial" w:eastAsia="宋体"/>
          <w:b/>
          <w:bCs/>
          <w:sz w:val="24"/>
          <w:szCs w:val="24"/>
        </w:rPr>
        <w:tab/>
      </w:r>
    </w:p>
    <w:p>
      <w:pPr>
        <w:pStyle w:val="4"/>
        <w:tabs>
          <w:tab w:val="left" w:pos="1701"/>
          <w:tab w:val="right" w:pos="9923"/>
          <w:tab w:val="clear" w:pos="4536"/>
          <w:tab w:val="clear" w:pos="9072"/>
        </w:tabs>
        <w:rPr>
          <w:sz w:val="24"/>
          <w:szCs w:val="36"/>
        </w:rPr>
      </w:pPr>
      <w:r>
        <w:rPr>
          <w:rFonts w:hint="eastAsia"/>
          <w:sz w:val="24"/>
          <w:szCs w:val="36"/>
        </w:rPr>
        <w:t>Wuhan, China, Apr. 7</w:t>
      </w:r>
      <w:r>
        <w:rPr>
          <w:rFonts w:hint="eastAsia"/>
          <w:sz w:val="24"/>
          <w:szCs w:val="36"/>
          <w:vertAlign w:val="superscript"/>
        </w:rPr>
        <w:t>th</w:t>
      </w:r>
      <w:r>
        <w:rPr>
          <w:rFonts w:hint="eastAsia"/>
          <w:sz w:val="24"/>
          <w:szCs w:val="36"/>
        </w:rPr>
        <w:t xml:space="preserve"> – 11</w:t>
      </w:r>
      <w:r>
        <w:rPr>
          <w:rFonts w:hint="eastAsia"/>
          <w:sz w:val="24"/>
          <w:szCs w:val="36"/>
          <w:vertAlign w:val="superscript"/>
        </w:rPr>
        <w:t>th</w:t>
      </w:r>
      <w:r>
        <w:rPr>
          <w:rFonts w:hint="eastAsia"/>
          <w:sz w:val="24"/>
          <w:szCs w:val="36"/>
        </w:rPr>
        <w:t xml:space="preserve"> , 2025</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5"/>
      <w:bookmarkStart w:id="3" w:name="OLE_LINK15"/>
      <w:bookmarkStart w:id="4" w:name="_Hlk135042323"/>
      <w:r>
        <w:rPr>
          <w:rFonts w:hint="eastAsia" w:ascii="Arial" w:hAnsi="Arial" w:eastAsia="宋体" w:cs="Arial"/>
          <w:b/>
          <w:kern w:val="0"/>
          <w:sz w:val="22"/>
        </w:rPr>
        <w:t>A-IoT data transmission and other general aspects</w:t>
      </w:r>
      <w:bookmarkEnd w:id="2"/>
    </w:p>
    <w:bookmarkEnd w:id="3"/>
    <w:bookmarkEnd w:id="4"/>
    <w:p>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rPr>
        <w:t>8.2.4</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RAN2#129 meeting, some related agreements were achieved in the following [1]:</w:t>
      </w:r>
    </w:p>
    <w:tbl>
      <w:tblPr>
        <w:tblStyle w:val="87"/>
        <w:tblpPr w:leftFromText="180" w:rightFromText="180" w:vertAnchor="text" w:horzAnchor="page" w:tblpX="1618" w:tblpY="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1" w:type="dxa"/>
          </w:tcPr>
          <w:p>
            <w:pPr>
              <w:pStyle w:val="194"/>
              <w:ind w:left="363"/>
              <w:rPr>
                <w:b/>
                <w:bCs/>
              </w:rPr>
            </w:pPr>
            <w:r>
              <w:rPr>
                <w:b/>
                <w:bCs/>
              </w:rPr>
              <w:t xml:space="preserve">Agreements </w:t>
            </w:r>
          </w:p>
          <w:p>
            <w:pPr>
              <w:pStyle w:val="198"/>
              <w:numPr>
                <w:ilvl w:val="0"/>
                <w:numId w:val="19"/>
              </w:numPr>
              <w:ind w:left="360"/>
              <w:rPr>
                <w:b w:val="0"/>
                <w:bCs/>
              </w:rPr>
            </w:pPr>
            <w:r>
              <w:rPr>
                <w:b w:val="0"/>
                <w:bCs/>
              </w:rPr>
              <w:t xml:space="preserve">For CBRA, it is up to Reader to decide whether to reuse the random ID as the AS ID or to assign a new AS ID.   FFS how this is signalled, which message is used and size of AS ID.   </w:t>
            </w:r>
          </w:p>
          <w:p>
            <w:pPr>
              <w:pStyle w:val="198"/>
              <w:numPr>
                <w:ilvl w:val="0"/>
                <w:numId w:val="19"/>
              </w:numPr>
              <w:ind w:left="360"/>
              <w:rPr>
                <w:b w:val="0"/>
                <w:bCs/>
              </w:rPr>
            </w:pPr>
            <w:r>
              <w:rPr>
                <w:b w:val="0"/>
                <w:bCs/>
              </w:rPr>
              <w:t xml:space="preserve">From device perspective, it is only required to use one AS ID.     </w:t>
            </w:r>
          </w:p>
          <w:p>
            <w:pPr>
              <w:pStyle w:val="198"/>
              <w:numPr>
                <w:ilvl w:val="0"/>
                <w:numId w:val="19"/>
              </w:numPr>
              <w:ind w:left="360"/>
              <w:rPr>
                <w:b w:val="0"/>
                <w:bCs/>
              </w:rPr>
            </w:pPr>
            <w:r>
              <w:rPr>
                <w:b w:val="0"/>
                <w:bCs/>
              </w:rPr>
              <w:t>CFRA is not supported for group ID</w:t>
            </w:r>
          </w:p>
          <w:p>
            <w:pPr>
              <w:pStyle w:val="198"/>
              <w:numPr>
                <w:ilvl w:val="0"/>
                <w:numId w:val="19"/>
              </w:numPr>
              <w:ind w:left="360"/>
              <w:rPr>
                <w:b w:val="0"/>
                <w:bCs/>
              </w:rPr>
            </w:pPr>
            <w:r>
              <w:rPr>
                <w:b w:val="0"/>
                <w:bCs/>
              </w:rPr>
              <w:t>RAN2 assumes, AS ID is needed for CFRA at least for inventory + command procedure</w:t>
            </w:r>
          </w:p>
          <w:p>
            <w:pPr>
              <w:pStyle w:val="198"/>
              <w:numPr>
                <w:ilvl w:val="0"/>
                <w:numId w:val="19"/>
              </w:numPr>
              <w:ind w:left="360"/>
              <w:rPr>
                <w:b w:val="0"/>
                <w:bCs/>
              </w:rPr>
            </w:pPr>
            <w:r>
              <w:rPr>
                <w:b w:val="0"/>
                <w:bCs/>
              </w:rPr>
              <w:t>For CFRA, if a valid AS ID is not already assigned, continue the discussion on AS-ID assignment based on the following options:</w:t>
            </w:r>
          </w:p>
          <w:p>
            <w:pPr>
              <w:pStyle w:val="198"/>
              <w:numPr>
                <w:ilvl w:val="0"/>
                <w:numId w:val="20"/>
              </w:numPr>
              <w:rPr>
                <w:b w:val="0"/>
                <w:bCs/>
              </w:rPr>
            </w:pPr>
            <w:r>
              <w:rPr>
                <w:b w:val="0"/>
                <w:bCs/>
              </w:rPr>
              <w:t>Option 2: the device includes a random ID in “Msg 1”. And same as CBRA, it is up to Reader to decide whether to reuse the random ID as the AS ID or to assign a new AS ID.</w:t>
            </w:r>
          </w:p>
          <w:p>
            <w:pPr>
              <w:pStyle w:val="198"/>
              <w:numPr>
                <w:ilvl w:val="0"/>
                <w:numId w:val="20"/>
              </w:numPr>
              <w:rPr>
                <w:b w:val="0"/>
                <w:bCs/>
                <w:i/>
                <w:iCs/>
              </w:rPr>
            </w:pPr>
            <w:r>
              <w:rPr>
                <w:b w:val="0"/>
                <w:bCs/>
              </w:rPr>
              <w:t>Option 3: New “Msg 2” for AS ID assignment, complementary option or independent from option 2</w:t>
            </w:r>
          </w:p>
          <w:p>
            <w:pPr>
              <w:pStyle w:val="198"/>
              <w:numPr>
                <w:ilvl w:val="0"/>
                <w:numId w:val="20"/>
              </w:numPr>
              <w:rPr>
                <w:i/>
                <w:iCs/>
              </w:rPr>
            </w:pPr>
            <w:r>
              <w:rPr>
                <w:b w:val="0"/>
                <w:bCs/>
              </w:rPr>
              <w:t>Option 4: “Msg 2” (including the “Command”) for AS ID assignment, complementary option or independent from option 2</w:t>
            </w:r>
          </w:p>
          <w:p>
            <w:pPr>
              <w:pStyle w:val="194"/>
              <w:ind w:left="0" w:firstLine="0"/>
              <w:rPr>
                <w:b/>
                <w:bCs/>
              </w:rPr>
            </w:pPr>
            <w:r>
              <w:rPr>
                <w:b/>
                <w:bCs/>
              </w:rPr>
              <w:t>Agreements on segmentation</w:t>
            </w:r>
          </w:p>
          <w:p>
            <w:pPr>
              <w:pStyle w:val="198"/>
              <w:numPr>
                <w:ilvl w:val="0"/>
                <w:numId w:val="19"/>
              </w:numPr>
              <w:ind w:left="360"/>
              <w:rPr>
                <w:b w:val="0"/>
                <w:bCs/>
              </w:rPr>
            </w:pPr>
            <w:r>
              <w:rPr>
                <w:rFonts w:hint="eastAsia"/>
                <w:b w:val="0"/>
                <w:bCs/>
              </w:rPr>
              <w:t xml:space="preserve">To support segmentation, a 1 bit indication is introduced to indicate whether there is more data or not, if SA2 indicates that CN can provide an estimated expected D2R message size.   If not possible, FFS if the 1 bit is sufficient.   </w:t>
            </w:r>
          </w:p>
          <w:p>
            <w:pPr>
              <w:pStyle w:val="198"/>
              <w:numPr>
                <w:ilvl w:val="0"/>
                <w:numId w:val="19"/>
              </w:numPr>
              <w:ind w:left="360"/>
              <w:rPr>
                <w:b w:val="0"/>
                <w:bCs/>
              </w:rPr>
            </w:pPr>
            <w:r>
              <w:rPr>
                <w:rFonts w:hint="eastAsia"/>
                <w:b w:val="0"/>
                <w:bCs/>
              </w:rPr>
              <w:t xml:space="preserve">Segment retransmission is supported.  </w:t>
            </w:r>
          </w:p>
          <w:p>
            <w:pPr>
              <w:pStyle w:val="198"/>
              <w:numPr>
                <w:ilvl w:val="0"/>
                <w:numId w:val="19"/>
              </w:numPr>
              <w:ind w:left="360"/>
              <w:rPr>
                <w:b w:val="0"/>
                <w:bCs/>
              </w:rPr>
            </w:pPr>
            <w:r>
              <w:rPr>
                <w:rFonts w:hint="eastAsia"/>
                <w:b w:val="0"/>
                <w:bCs/>
              </w:rPr>
              <w:t>For segment retransmission, reader explicitly indicates an offset in the MAC layer– e.g. number of bits successfully received so far (from the start).  FFS This implies that unsegmented packet can also be retransmitted.   FFS if this applies to msg3</w:t>
            </w:r>
          </w:p>
          <w:p>
            <w:pPr>
              <w:pStyle w:val="198"/>
              <w:numPr>
                <w:ilvl w:val="0"/>
                <w:numId w:val="19"/>
              </w:numPr>
              <w:ind w:left="360"/>
              <w:rPr>
                <w:b w:val="0"/>
                <w:bCs/>
              </w:rPr>
            </w:pPr>
            <w:r>
              <w:rPr>
                <w:rFonts w:hint="eastAsia"/>
                <w:b w:val="0"/>
                <w:bCs/>
              </w:rPr>
              <w:t>R2D segmentation is not supported for R19 A-IoT.</w:t>
            </w:r>
          </w:p>
          <w:p>
            <w:pPr>
              <w:pStyle w:val="198"/>
              <w:numPr>
                <w:ilvl w:val="0"/>
                <w:numId w:val="19"/>
              </w:numPr>
              <w:ind w:left="360"/>
              <w:rPr>
                <w:b w:val="0"/>
                <w:bCs/>
              </w:rPr>
            </w:pPr>
            <w:r>
              <w:rPr>
                <w:rFonts w:hint="eastAsia"/>
                <w:b w:val="0"/>
                <w:bCs/>
              </w:rPr>
              <w:t>From RAN2 perspective only the following types of procedures will be considered in the normative phase: “Inventory only” and “Inventory and command”.</w:t>
            </w:r>
          </w:p>
          <w:p>
            <w:pPr>
              <w:pStyle w:val="194"/>
              <w:ind w:left="363"/>
              <w:rPr>
                <w:b/>
                <w:bCs/>
              </w:rPr>
            </w:pPr>
            <w:r>
              <w:rPr>
                <w:b/>
                <w:bCs/>
              </w:rPr>
              <w:t>Agreements on MAC PDU format design</w:t>
            </w:r>
          </w:p>
          <w:p>
            <w:pPr>
              <w:pStyle w:val="198"/>
              <w:numPr>
                <w:ilvl w:val="0"/>
                <w:numId w:val="19"/>
              </w:numPr>
              <w:ind w:left="360"/>
              <w:rPr>
                <w:b w:val="0"/>
                <w:bCs/>
              </w:rPr>
            </w:pPr>
            <w:r>
              <w:rPr>
                <w:rFonts w:hint="eastAsia"/>
                <w:b w:val="0"/>
                <w:bCs/>
              </w:rPr>
              <w:t xml:space="preserve">Aim to design simple MAC PDU format design </w:t>
            </w:r>
          </w:p>
          <w:p>
            <w:pPr>
              <w:pStyle w:val="198"/>
              <w:numPr>
                <w:ilvl w:val="0"/>
                <w:numId w:val="19"/>
              </w:numPr>
              <w:ind w:left="360"/>
              <w:rPr>
                <w:b w:val="0"/>
                <w:bCs/>
              </w:rPr>
            </w:pPr>
            <w:r>
              <w:rPr>
                <w:rFonts w:hint="eastAsia"/>
                <w:b w:val="0"/>
                <w:bCs/>
              </w:rPr>
              <w:t>Support multiplexing of information for multiple devices in R2D message for msg2.  FFS others for multicast messages</w:t>
            </w:r>
          </w:p>
          <w:p>
            <w:pPr>
              <w:pStyle w:val="198"/>
              <w:numPr>
                <w:ilvl w:val="0"/>
                <w:numId w:val="19"/>
              </w:numPr>
              <w:ind w:left="360"/>
              <w:rPr>
                <w:b w:val="0"/>
                <w:bCs/>
              </w:rPr>
            </w:pPr>
            <w:r>
              <w:rPr>
                <w:rFonts w:hint="eastAsia"/>
                <w:b w:val="0"/>
                <w:bCs/>
              </w:rPr>
              <w:t xml:space="preserve">At least the following field are required for at least for R2D in the MAC header– message type, length for SDU and variable part(s).   </w:t>
            </w:r>
          </w:p>
          <w:p>
            <w:pPr>
              <w:pStyle w:val="198"/>
              <w:numPr>
                <w:ilvl w:val="0"/>
                <w:numId w:val="19"/>
              </w:numPr>
              <w:ind w:left="360"/>
              <w:rPr>
                <w:b w:val="0"/>
                <w:bCs/>
              </w:rPr>
            </w:pPr>
            <w:r>
              <w:rPr>
                <w:rFonts w:hint="eastAsia"/>
                <w:b w:val="0"/>
                <w:bCs/>
              </w:rPr>
              <w:t>FFS whether for D2R we need message type field, any length and need for padding</w:t>
            </w:r>
          </w:p>
          <w:p>
            <w:pPr>
              <w:pStyle w:val="198"/>
              <w:numPr>
                <w:ilvl w:val="0"/>
                <w:numId w:val="19"/>
              </w:numPr>
              <w:ind w:left="360"/>
              <w:rPr>
                <w:b w:val="0"/>
                <w:bCs/>
              </w:rPr>
            </w:pPr>
            <w:r>
              <w:rPr>
                <w:rFonts w:hint="eastAsia"/>
                <w:b w:val="0"/>
                <w:bCs/>
              </w:rPr>
              <w:t xml:space="preserve">Specify message types and contents.  As starting point consider the following MAC message types.  </w:t>
            </w:r>
          </w:p>
          <w:p>
            <w:pPr>
              <w:pStyle w:val="198"/>
              <w:numPr>
                <w:ilvl w:val="0"/>
                <w:numId w:val="21"/>
              </w:numPr>
              <w:rPr>
                <w:b w:val="0"/>
                <w:bCs/>
              </w:rPr>
            </w:pPr>
            <w:r>
              <w:rPr>
                <w:rFonts w:hint="eastAsia"/>
                <w:b w:val="0"/>
                <w:bCs/>
              </w:rPr>
              <w:t>R2D MAC PDU (Paging/R2D trigger (depending on agreement on WF))</w:t>
            </w:r>
          </w:p>
          <w:p>
            <w:pPr>
              <w:pStyle w:val="198"/>
              <w:numPr>
                <w:ilvl w:val="0"/>
                <w:numId w:val="21"/>
              </w:numPr>
              <w:rPr>
                <w:b w:val="0"/>
                <w:bCs/>
              </w:rPr>
            </w:pPr>
            <w:r>
              <w:rPr>
                <w:rFonts w:hint="eastAsia"/>
                <w:b w:val="0"/>
                <w:bCs/>
              </w:rPr>
              <w:t>D2R MAC PDU (MSG1) (FFS if this requires a MAC header or not)</w:t>
            </w:r>
            <w:r>
              <w:rPr>
                <w:rFonts w:hint="eastAsia"/>
                <w:b w:val="0"/>
                <w:bCs/>
              </w:rPr>
              <w:tab/>
            </w:r>
            <w:r>
              <w:rPr>
                <w:rFonts w:hint="eastAsia"/>
                <w:b w:val="0"/>
                <w:bCs/>
              </w:rPr>
              <w:tab/>
            </w:r>
          </w:p>
          <w:p>
            <w:pPr>
              <w:pStyle w:val="198"/>
              <w:numPr>
                <w:ilvl w:val="0"/>
                <w:numId w:val="21"/>
              </w:numPr>
              <w:rPr>
                <w:b w:val="0"/>
                <w:bCs/>
              </w:rPr>
            </w:pPr>
            <w:r>
              <w:rPr>
                <w:rFonts w:hint="eastAsia"/>
                <w:b w:val="0"/>
                <w:bCs/>
              </w:rPr>
              <w:t>R2D MAC PDU (MSG2)</w:t>
            </w:r>
          </w:p>
          <w:p>
            <w:pPr>
              <w:pStyle w:val="198"/>
              <w:numPr>
                <w:ilvl w:val="0"/>
                <w:numId w:val="21"/>
              </w:numPr>
              <w:rPr>
                <w:b w:val="0"/>
                <w:bCs/>
              </w:rPr>
            </w:pPr>
            <w:r>
              <w:rPr>
                <w:rFonts w:hint="eastAsia"/>
                <w:b w:val="0"/>
                <w:bCs/>
              </w:rPr>
              <w:t>D2R MAC PDU (MSG3 and data)</w:t>
            </w:r>
          </w:p>
          <w:p>
            <w:pPr>
              <w:pStyle w:val="198"/>
              <w:numPr>
                <w:ilvl w:val="0"/>
                <w:numId w:val="21"/>
              </w:numPr>
              <w:rPr>
                <w:b w:val="0"/>
                <w:bCs/>
              </w:rPr>
            </w:pPr>
            <w:r>
              <w:rPr>
                <w:rFonts w:hint="eastAsia"/>
                <w:b w:val="0"/>
                <w:bCs/>
              </w:rPr>
              <w:t>R2D MAC PDU (R2D data)</w:t>
            </w:r>
          </w:p>
          <w:p>
            <w:pPr>
              <w:pStyle w:val="198"/>
              <w:numPr>
                <w:ilvl w:val="0"/>
                <w:numId w:val="21"/>
              </w:numPr>
              <w:rPr>
                <w:b w:val="0"/>
                <w:bCs/>
              </w:rPr>
            </w:pPr>
            <w:r>
              <w:rPr>
                <w:rFonts w:hint="eastAsia"/>
                <w:b w:val="0"/>
                <w:bCs/>
              </w:rPr>
              <w:t xml:space="preserve">Other message types are FFS.  The message types may evolve based on functionality agreements. </w:t>
            </w:r>
          </w:p>
          <w:p>
            <w:pPr>
              <w:pStyle w:val="194"/>
              <w:ind w:left="0" w:firstLine="0"/>
            </w:pPr>
          </w:p>
        </w:tc>
      </w:tr>
    </w:tbl>
    <w:p>
      <w:pPr>
        <w:widowControl/>
        <w:spacing w:before="120" w:after="120" w:line="360" w:lineRule="auto"/>
        <w:rPr>
          <w:rFonts w:ascii="Times New Roman" w:hAnsi="Times New Roman" w:eastAsia="宋体" w:cs="Times New Roman"/>
          <w:kern w:val="0"/>
          <w:sz w:val="20"/>
          <w:szCs w:val="20"/>
        </w:rPr>
      </w:pPr>
      <w:bookmarkStart w:id="6" w:name="OLE_LINK1"/>
      <w:bookmarkStart w:id="7" w:name="_Hlk155950016"/>
      <w:r>
        <w:rPr>
          <w:rFonts w:hint="eastAsia" w:ascii="Times New Roman" w:hAnsi="Times New Roman" w:eastAsia="宋体" w:cs="Times New Roman"/>
          <w:kern w:val="0"/>
          <w:sz w:val="20"/>
          <w:szCs w:val="20"/>
        </w:rPr>
        <w:t>Based on the current RAN2 progress, we will further discuss A-IoT data transmission and other general aspects in this contribution.</w:t>
      </w:r>
    </w:p>
    <w:bookmarkEnd w:id="6"/>
    <w:bookmarkEnd w:id="7"/>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Times New Roman" w:cs="Times New Roman"/>
          <w:kern w:val="0"/>
          <w:sz w:val="36"/>
          <w:szCs w:val="20"/>
          <w:lang w:val="fr-FR" w:eastAsia="en-US"/>
        </w:rPr>
        <w:t>Discussion</w:t>
      </w:r>
    </w:p>
    <w:p>
      <w:pPr>
        <w:pStyle w:val="3"/>
        <w:rPr>
          <w:b w:val="0"/>
          <w:bCs w:val="0"/>
          <w:lang w:eastAsia="zh-CN"/>
        </w:rPr>
      </w:pPr>
      <w:r>
        <w:rPr>
          <w:rFonts w:hint="eastAsia"/>
          <w:b w:val="0"/>
          <w:bCs w:val="0"/>
          <w:lang w:val="fr-FR"/>
        </w:rPr>
        <w:t>2.1</w:t>
      </w:r>
      <w:bookmarkStart w:id="8" w:name="OLE_LINK21"/>
      <w:r>
        <w:rPr>
          <w:rFonts w:hint="eastAsia"/>
          <w:b w:val="0"/>
          <w:bCs w:val="0"/>
          <w:lang w:eastAsia="zh-CN"/>
        </w:rPr>
        <w:t xml:space="preserve"> MAC PDU format</w:t>
      </w:r>
      <w:bookmarkEnd w:id="8"/>
      <w:r>
        <w:rPr>
          <w:rFonts w:hint="eastAsia"/>
          <w:b w:val="0"/>
          <w:bCs w:val="0"/>
          <w:lang w:eastAsia="zh-CN"/>
        </w:rPr>
        <w:t xml:space="preserve"> design</w:t>
      </w:r>
    </w:p>
    <w:p>
      <w:pPr>
        <w:widowControl/>
        <w:spacing w:after="120" w:afterLines="50" w:line="360" w:lineRule="auto"/>
        <w:rPr>
          <w:rFonts w:ascii="Times New Roman" w:hAnsi="Times New Roman" w:eastAsia="宋体" w:cs="Times New Roman"/>
          <w:kern w:val="0"/>
          <w:sz w:val="20"/>
          <w:szCs w:val="20"/>
        </w:rPr>
      </w:pPr>
      <w:bookmarkStart w:id="9" w:name="OLE_LINK14"/>
      <w:bookmarkStart w:id="10" w:name="OLE_LINK13"/>
      <w:bookmarkStart w:id="11" w:name="OLE_LINK16"/>
      <w:r>
        <w:rPr>
          <w:rFonts w:ascii="Times New Roman" w:hAnsi="Times New Roman" w:eastAsia="宋体" w:cs="Times New Roman"/>
          <w:kern w:val="0"/>
          <w:sz w:val="20"/>
          <w:szCs w:val="20"/>
        </w:rPr>
        <w:t>For A-IoT MAC PDU, small-sized D2R messages may exist due to backscattering transmission. This is different from the design of traditional NR. In our view, byte alignment is not necessary to avoid unnecessary overhead and maintain the same design between D2R PDU and R2D PDU. A-IoT MAC PDU can have variable sizes and follow the bit-aligned design.</w:t>
      </w:r>
    </w:p>
    <w:p>
      <w:pPr>
        <w:pStyle w:val="285"/>
        <w:numPr>
          <w:ilvl w:val="0"/>
          <w:numId w:val="22"/>
        </w:numPr>
        <w:spacing w:after="120" w:afterLines="50" w:line="360" w:lineRule="auto"/>
        <w:rPr>
          <w:rFonts w:ascii="Times New Roman" w:hAnsi="Times New Roman" w:eastAsia="等线"/>
          <w:b/>
          <w:i/>
          <w:iCs/>
          <w:lang w:val="sv"/>
        </w:rPr>
      </w:pPr>
      <w:r>
        <w:rPr>
          <w:rFonts w:hint="eastAsia" w:ascii="Times New Roman" w:hAnsi="Times New Roman" w:eastAsia="等线"/>
          <w:b/>
          <w:i/>
          <w:iCs/>
        </w:rPr>
        <w:t>No need to support byte-alignment for A-IoT MAC PDU</w:t>
      </w:r>
      <w:r>
        <w:rPr>
          <w:rFonts w:hint="eastAsia" w:ascii="Times New Roman" w:hAnsi="Times New Roman" w:eastAsia="等线"/>
          <w:b/>
          <w:i/>
          <w:iCs/>
          <w:lang w:val="en-US" w:eastAsia="zh-CN"/>
        </w:rPr>
        <w:t>.</w:t>
      </w:r>
    </w:p>
    <w:p>
      <w:pPr>
        <w:widowControl/>
        <w:spacing w:after="120" w:afterLines="50"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Based on the discussion in the last meeting, there are several message types for D2R and R2D messages, including those for paging, random access, and data transmission. If all message types are placed in one message -type field and the scalability of subsequent versions of the Specs is considered, 4 bits for the message-type field are sufficient.</w:t>
      </w:r>
    </w:p>
    <w:p>
      <w:pPr>
        <w:pStyle w:val="285"/>
        <w:numPr>
          <w:ilvl w:val="0"/>
          <w:numId w:val="22"/>
        </w:numPr>
        <w:spacing w:after="120" w:afterLines="50" w:line="360" w:lineRule="auto"/>
        <w:rPr>
          <w:rFonts w:ascii="Times New Roman" w:hAnsi="Times New Roman" w:eastAsia="等线"/>
          <w:b/>
          <w:i/>
          <w:iCs/>
          <w:lang w:val="sv"/>
        </w:rPr>
      </w:pPr>
      <w:r>
        <w:rPr>
          <w:rFonts w:hint="eastAsia" w:ascii="Times New Roman" w:hAnsi="Times New Roman" w:eastAsia="等线"/>
          <w:b/>
          <w:i/>
          <w:iCs/>
        </w:rPr>
        <w:t xml:space="preserve">The </w:t>
      </w:r>
      <w:r>
        <w:rPr>
          <w:rFonts w:ascii="Times New Roman" w:hAnsi="Times New Roman" w:eastAsia="等线"/>
          <w:b/>
          <w:i/>
          <w:iCs/>
        </w:rPr>
        <w:t xml:space="preserve">length </w:t>
      </w:r>
      <w:r>
        <w:rPr>
          <w:rFonts w:hint="eastAsia" w:ascii="Times New Roman" w:hAnsi="Times New Roman" w:eastAsia="等线"/>
          <w:b/>
          <w:i/>
          <w:iCs/>
        </w:rPr>
        <w:t xml:space="preserve">of the message type </w:t>
      </w:r>
      <w:r>
        <w:rPr>
          <w:rFonts w:ascii="Times New Roman" w:hAnsi="Times New Roman" w:eastAsia="等线"/>
          <w:b/>
          <w:i/>
          <w:iCs/>
        </w:rPr>
        <w:t xml:space="preserve">field </w:t>
      </w:r>
      <w:r>
        <w:rPr>
          <w:rFonts w:hint="eastAsia" w:ascii="Times New Roman" w:hAnsi="Times New Roman" w:eastAsia="等线"/>
          <w:b/>
          <w:i/>
          <w:iCs/>
        </w:rPr>
        <w:t>is no more than 4</w:t>
      </w:r>
      <w:r>
        <w:rPr>
          <w:rFonts w:ascii="Times New Roman" w:hAnsi="Times New Roman" w:eastAsia="等线"/>
          <w:b/>
          <w:i/>
          <w:iCs/>
        </w:rPr>
        <w:t xml:space="preserve"> bit</w:t>
      </w:r>
      <w:r>
        <w:rPr>
          <w:rFonts w:hint="eastAsia" w:ascii="Times New Roman" w:hAnsi="Times New Roman" w:eastAsia="等线"/>
          <w:b/>
          <w:i/>
          <w:iCs/>
        </w:rPr>
        <w:t>s.</w:t>
      </w:r>
    </w:p>
    <w:p>
      <w:pPr>
        <w:pStyle w:val="285"/>
        <w:spacing w:after="120" w:afterLines="50" w:line="360" w:lineRule="auto"/>
        <w:ind w:firstLine="0"/>
        <w:jc w:val="both"/>
        <w:rPr>
          <w:rFonts w:hint="eastAsia" w:ascii="Times New Roman" w:hAnsi="Times New Roman" w:eastAsia="宋体"/>
          <w:sz w:val="20"/>
          <w:szCs w:val="20"/>
          <w:lang w:bidi="ar"/>
        </w:rPr>
      </w:pPr>
      <w:r>
        <w:rPr>
          <w:rFonts w:hint="eastAsia" w:ascii="Times New Roman" w:hAnsi="Times New Roman" w:eastAsia="宋体"/>
          <w:sz w:val="20"/>
          <w:szCs w:val="20"/>
          <w:lang w:bidi="ar"/>
        </w:rPr>
        <w:t>As for the design of the A - IoT MAC PDU format, we can refer to the legacy NR MAC PDU structure. A MAC PDU is composed of one or more MAC subPDUs. Considering the limited processing capabilities of A-IoT devices, individual signalling transmission might be more suitable for A-IoT. Thus, a more simplified MAC PDU design merits further exploration. For example, a MAC PDU could consist solely of a MAC PDU header and a MAC payload. Meanwhile, this MAC payload may consist of one or more MAC subPDUs. In such a format, the message field would naturally be placed in the MAC PDU header. At this stage, we need to discuss the general format of the A-IoT MAC PDU and then determine whether the R2D MAC PDU and the D2R MAC PDU have a unified format.</w:t>
      </w:r>
    </w:p>
    <w:p>
      <w:pPr>
        <w:pStyle w:val="285"/>
        <w:numPr>
          <w:ilvl w:val="0"/>
          <w:numId w:val="22"/>
        </w:numPr>
        <w:spacing w:after="120" w:afterLines="50" w:line="360" w:lineRule="auto"/>
        <w:rPr>
          <w:rFonts w:ascii="Times New Roman" w:hAnsi="Times New Roman" w:eastAsia="等线"/>
          <w:b/>
          <w:i/>
          <w:iCs/>
        </w:rPr>
      </w:pPr>
      <w:r>
        <w:rPr>
          <w:rFonts w:hint="eastAsia" w:ascii="Times New Roman" w:hAnsi="Times New Roman" w:eastAsia="等线"/>
          <w:b/>
          <w:i/>
          <w:iCs/>
        </w:rPr>
        <w:t xml:space="preserve">RAN2 to </w:t>
      </w:r>
      <w:r>
        <w:rPr>
          <w:rFonts w:hint="eastAsia" w:ascii="Times New Roman" w:hAnsi="Times New Roman" w:eastAsia="等线"/>
          <w:b/>
          <w:i/>
          <w:iCs/>
          <w:lang w:val="en-US" w:eastAsia="zh-CN"/>
        </w:rPr>
        <w:t>define</w:t>
      </w:r>
      <w:r>
        <w:rPr>
          <w:rFonts w:hint="eastAsia" w:ascii="Times New Roman" w:hAnsi="Times New Roman" w:eastAsia="等线"/>
          <w:b/>
          <w:i/>
          <w:iCs/>
        </w:rPr>
        <w:t xml:space="preserve"> the basic format of MAC PDU</w:t>
      </w:r>
      <w:r>
        <w:rPr>
          <w:rFonts w:hint="eastAsia" w:ascii="Times New Roman" w:hAnsi="Times New Roman" w:eastAsia="等线"/>
          <w:b/>
          <w:i/>
          <w:iCs/>
          <w:lang w:val="en-US" w:eastAsia="zh-CN"/>
        </w:rPr>
        <w:t xml:space="preserve"> as follows</w:t>
      </w:r>
      <w:r>
        <w:rPr>
          <w:rFonts w:hint="eastAsia" w:ascii="Times New Roman" w:hAnsi="Times New Roman" w:eastAsia="等线"/>
          <w:b/>
          <w:i/>
          <w:iCs/>
        </w:rPr>
        <w:t>:</w:t>
      </w:r>
      <w:r>
        <w:rPr>
          <w:rFonts w:hint="eastAsia" w:ascii="Times New Roman" w:hAnsi="Times New Roman" w:eastAsia="等线"/>
          <w:b/>
          <w:i/>
          <w:iCs/>
          <w:lang w:val="en-US" w:eastAsia="zh-CN"/>
        </w:rPr>
        <w:t xml:space="preserve"> </w:t>
      </w:r>
      <w:r>
        <w:rPr>
          <w:rFonts w:hint="eastAsia" w:ascii="Times New Roman" w:hAnsi="Times New Roman" w:eastAsia="等线"/>
          <w:b/>
          <w:i/>
          <w:iCs/>
        </w:rPr>
        <w:t xml:space="preserve">a MAC PDU consists of </w:t>
      </w:r>
      <w:r>
        <w:rPr>
          <w:rFonts w:hint="eastAsia" w:ascii="Times New Roman" w:hAnsi="Times New Roman" w:eastAsia="等线"/>
          <w:b/>
          <w:i/>
          <w:iCs/>
          <w:lang w:val="en-US" w:eastAsia="zh-CN"/>
        </w:rPr>
        <w:t xml:space="preserve">one header and </w:t>
      </w:r>
      <w:r>
        <w:rPr>
          <w:rFonts w:hint="eastAsia" w:ascii="Times New Roman" w:hAnsi="Times New Roman" w:eastAsia="等线"/>
          <w:b/>
          <w:i/>
          <w:iCs/>
        </w:rPr>
        <w:t>one or more MAC subPDUs</w:t>
      </w:r>
      <w:r>
        <w:rPr>
          <w:rFonts w:hint="eastAsia" w:ascii="Times New Roman" w:hAnsi="Times New Roman" w:eastAsia="等线"/>
          <w:b/>
          <w:i/>
          <w:iCs/>
          <w:lang w:val="en-US" w:eastAsia="zh-CN"/>
        </w:rPr>
        <w:t>.</w:t>
      </w:r>
    </w:p>
    <w:bookmarkEnd w:id="9"/>
    <w:bookmarkEnd w:id="10"/>
    <w:bookmarkEnd w:id="11"/>
    <w:p>
      <w:pPr>
        <w:pStyle w:val="3"/>
        <w:rPr>
          <w:b w:val="0"/>
          <w:bCs w:val="0"/>
          <w:lang w:eastAsia="zh-CN"/>
        </w:rPr>
      </w:pPr>
      <w:bookmarkStart w:id="12" w:name="PP12"/>
      <w:r>
        <w:rPr>
          <w:rFonts w:hint="eastAsia"/>
          <w:b w:val="0"/>
          <w:bCs w:val="0"/>
          <w:lang w:eastAsia="zh-CN"/>
        </w:rPr>
        <w:t xml:space="preserve">2.2 AS ID </w:t>
      </w:r>
    </w:p>
    <w:p>
      <w:pPr>
        <w:widowControl/>
        <w:spacing w:after="120" w:afterLines="50" w:line="360" w:lineRule="auto"/>
        <w:rPr>
          <w:rFonts w:ascii="Times New Roman" w:hAnsi="Times New Roman" w:eastAsia="Malgun Gothic" w:cs="Times New Roman"/>
          <w:kern w:val="0"/>
          <w:sz w:val="20"/>
          <w:szCs w:val="20"/>
          <w:lang w:bidi="ar"/>
        </w:rPr>
      </w:pPr>
      <w:bookmarkStart w:id="13" w:name="OLE_LINK4"/>
      <w:r>
        <w:rPr>
          <w:rFonts w:ascii="Times New Roman" w:hAnsi="Times New Roman" w:eastAsia="Malgun Gothic" w:cs="Times New Roman"/>
          <w:kern w:val="0"/>
          <w:sz w:val="20"/>
          <w:szCs w:val="20"/>
          <w:lang w:bidi="ar"/>
        </w:rPr>
        <w:t>Based on the email discussion, we have had in-depth discussions on relevant issues regarding the AS ID for A-IoT, including the AS ID assignment for CBRA/CFRA, the validity of AS ID, and other aspects. At this stage, according to our understanding, we can more easily reach the following consensuses.​</w:t>
      </w:r>
    </w:p>
    <w:p>
      <w:pPr>
        <w:widowControl/>
        <w:spacing w:after="120" w:afterLines="50" w:line="360" w:lineRule="auto"/>
        <w:rPr>
          <w:rFonts w:ascii="Times New Roman" w:hAnsi="Times New Roman" w:eastAsia="Malgun Gothic" w:cs="Times New Roman"/>
          <w:kern w:val="0"/>
          <w:sz w:val="20"/>
          <w:szCs w:val="20"/>
          <w:lang w:bidi="ar"/>
        </w:rPr>
      </w:pPr>
      <w:r>
        <w:rPr>
          <w:rFonts w:ascii="Times New Roman" w:hAnsi="Times New Roman" w:eastAsia="Malgun Gothic" w:cs="Times New Roman"/>
          <w:kern w:val="0"/>
          <w:sz w:val="20"/>
          <w:szCs w:val="20"/>
          <w:lang w:bidi="ar"/>
        </w:rPr>
        <w:t xml:space="preserve">Regarding the assignment of AS ID, for CFRA, we prefer Option 4, where the AS ID is assigned in Msg 2. We believe that AS ID is not useful in the inventory-only procedure. Only when the reader carries a command message does the AS ID need to be assigned simultaneously. Meanwhile, to identify multiple devices, Msg2 also needs to contain the device ID to associate with the newly assigned AS ID. </w:t>
      </w:r>
      <w:r>
        <w:rPr>
          <w:rFonts w:hint="eastAsia" w:ascii="Times New Roman" w:hAnsi="Times New Roman" w:eastAsia="Malgun Gothic" w:cs="Times New Roman"/>
          <w:kern w:val="0"/>
          <w:sz w:val="20"/>
          <w:szCs w:val="20"/>
          <w:lang w:bidi="ar"/>
        </w:rPr>
        <w:t>FFS</w:t>
      </w:r>
      <w:r>
        <w:rPr>
          <w:rFonts w:ascii="Times New Roman" w:hAnsi="Times New Roman" w:eastAsia="Malgun Gothic" w:cs="Times New Roman"/>
          <w:kern w:val="0"/>
          <w:sz w:val="20"/>
          <w:szCs w:val="20"/>
          <w:lang w:bidi="ar"/>
        </w:rPr>
        <w:t xml:space="preserve"> on detailed device ID information. For CBRA, compared with Option 4, we are more inclined towards Option 1. If an RN16 collision occurs in Option 4, it will require other mechanisms to handle it, which is more troublesome than the additional signaling overhead of Msg2 in Option 1.</w:t>
      </w:r>
    </w:p>
    <w:p>
      <w:pPr>
        <w:pStyle w:val="285"/>
        <w:numPr>
          <w:ilvl w:val="0"/>
          <w:numId w:val="22"/>
        </w:numPr>
        <w:spacing w:after="120" w:afterLines="50" w:line="360" w:lineRule="auto"/>
        <w:rPr>
          <w:rFonts w:ascii="Times New Roman" w:hAnsi="Times New Roman"/>
          <w:b/>
          <w:i/>
          <w:iCs/>
        </w:rPr>
      </w:pPr>
      <w:r>
        <w:rPr>
          <w:rFonts w:hint="eastAsia" w:ascii="Times New Roman" w:hAnsi="Times New Roman"/>
          <w:b/>
          <w:i/>
          <w:iCs/>
        </w:rPr>
        <w:t>For CFRA, the AS ID is assigned in the first Command message. For CBRA, the AS ID is assigned in Msg2.</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hint="eastAsia" w:ascii="Times New Roman" w:hAnsi="Times New Roman"/>
        </w:rPr>
        <w:t>Regarding the validity of AS ID, there are many options available based on existing discussions. Considering the low-complexity of A-IoT devices, we should adopt straightforward options that are feasible to implement. For Option 6, although it is simple, it requires the introduction of an explicit message. In some cases, the reader's explicit indication may not reach the device, resulting in inefficiency. Hence, Option 1 may be</w:t>
      </w:r>
      <w:r>
        <w:rPr>
          <w:rFonts w:hint="eastAsia" w:ascii="Times New Roman" w:hAnsi="Times New Roman"/>
          <w:lang w:val="en-US" w:eastAsia="zh-CN"/>
        </w:rPr>
        <w:t xml:space="preserve"> much</w:t>
      </w:r>
      <w:r>
        <w:rPr>
          <w:rFonts w:hint="eastAsia" w:ascii="Times New Roman" w:hAnsi="Times New Roman"/>
        </w:rPr>
        <w:t xml:space="preserve"> simpler under a similar risk of missing the paging message. We can definitely set Option 1 as the baseline for now. Then, how to handle the failure caused by a lost paging message can be further discussed later.</w:t>
      </w:r>
    </w:p>
    <w:p>
      <w:pPr>
        <w:pStyle w:val="285"/>
        <w:numPr>
          <w:ilvl w:val="0"/>
          <w:numId w:val="22"/>
        </w:numPr>
        <w:spacing w:after="120" w:afterLines="50" w:line="360" w:lineRule="auto"/>
        <w:rPr>
          <w:rFonts w:ascii="Times New Roman" w:hAnsi="Times New Roman"/>
          <w:b/>
          <w:i/>
          <w:iCs/>
        </w:rPr>
      </w:pPr>
      <w:r>
        <w:rPr>
          <w:rFonts w:ascii="Times New Roman" w:hAnsi="Times New Roman"/>
          <w:b/>
          <w:i/>
          <w:iCs/>
        </w:rPr>
        <w:t>Regarding the validity of AS ID</w:t>
      </w:r>
      <w:r>
        <w:rPr>
          <w:rFonts w:hint="eastAsia" w:ascii="Times New Roman" w:hAnsi="Times New Roman" w:eastAsia="宋体"/>
          <w:b/>
          <w:i/>
          <w:iCs/>
          <w:lang w:val="en-US" w:eastAsia="zh-CN"/>
        </w:rPr>
        <w:t xml:space="preserve">, </w:t>
      </w:r>
      <w:r>
        <w:rPr>
          <w:rFonts w:hint="eastAsia" w:ascii="Times New Roman" w:hAnsi="Times New Roman"/>
          <w:b/>
          <w:i/>
          <w:iCs/>
        </w:rPr>
        <w:t>AS ID</w:t>
      </w:r>
      <w:r>
        <w:rPr>
          <w:rFonts w:ascii="Times New Roman" w:hAnsi="Times New Roman" w:eastAsia="Calibri"/>
          <w:b/>
          <w:i/>
          <w:iCs/>
        </w:rPr>
        <w:t xml:space="preserve"> could</w:t>
      </w:r>
      <w:r>
        <w:rPr>
          <w:rFonts w:asciiTheme="minorEastAsia" w:hAnsiTheme="minorEastAsia" w:eastAsiaTheme="minorEastAsia"/>
          <w:b/>
          <w:i/>
          <w:iCs/>
        </w:rPr>
        <w:t xml:space="preserve"> </w:t>
      </w:r>
      <w:r>
        <w:rPr>
          <w:rFonts w:hint="eastAsia" w:ascii="Times New Roman" w:hAnsi="Times New Roman"/>
          <w:b/>
          <w:i/>
          <w:iCs/>
        </w:rPr>
        <w:t>become invalid upon receiving a paging message.</w:t>
      </w:r>
    </w:p>
    <w:p>
      <w:pPr>
        <w:pStyle w:val="3"/>
        <w:rPr>
          <w:b w:val="0"/>
          <w:bCs w:val="0"/>
          <w:lang w:eastAsia="zh-CN"/>
        </w:rPr>
      </w:pPr>
      <w:r>
        <w:rPr>
          <w:rFonts w:hint="eastAsia"/>
          <w:b w:val="0"/>
          <w:bCs w:val="0"/>
          <w:lang w:val="fr-FR"/>
        </w:rPr>
        <w:t>2.</w:t>
      </w:r>
      <w:r>
        <w:rPr>
          <w:rFonts w:hint="eastAsia"/>
          <w:b w:val="0"/>
          <w:bCs w:val="0"/>
          <w:lang w:eastAsia="zh-CN"/>
        </w:rPr>
        <w:t>3 Segmentation</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the last meeting, we agreed on the implementation of segment retransmission. When the first segment fails to transmit, retransmission can be triggered by an R2D message containing an upper-layer command. This approach is consistent with how we handle the failed transmission of unsegmented packets. However, for the retransmission of the x-th segment (x&gt;1), it should be triggered by an R2D message that includes the size of the received message. This enables the device to efficiently determine the starting position of the next segment to be transmitted.</w:t>
      </w:r>
    </w:p>
    <w:p>
      <w:pPr>
        <w:pStyle w:val="285"/>
        <w:numPr>
          <w:ilvl w:val="0"/>
          <w:numId w:val="22"/>
        </w:numPr>
        <w:spacing w:after="120" w:afterLines="50" w:line="360" w:lineRule="auto"/>
        <w:rPr>
          <w:rFonts w:ascii="Times New Roman" w:hAnsi="Times New Roman"/>
          <w:b/>
          <w:i/>
          <w:iCs/>
        </w:rPr>
      </w:pPr>
      <w:r>
        <w:rPr>
          <w:rFonts w:hint="eastAsia" w:ascii="Times New Roman" w:hAnsi="Times New Roman"/>
          <w:b/>
          <w:i/>
          <w:iCs/>
        </w:rPr>
        <w:t xml:space="preserve">For the retransmission of both the first segment and subsequent segments, the R2D trigger message </w:t>
      </w:r>
      <w:r>
        <w:rPr>
          <w:rFonts w:ascii="Times New Roman" w:hAnsi="Times New Roman"/>
          <w:b/>
          <w:i/>
          <w:iCs/>
        </w:rPr>
        <w:t>could</w:t>
      </w:r>
      <w:r>
        <w:rPr>
          <w:rFonts w:hint="eastAsia" w:ascii="Times New Roman" w:hAnsi="Times New Roman"/>
          <w:b/>
          <w:i/>
          <w:iCs/>
        </w:rPr>
        <w:t xml:space="preserve"> separately include the command indication and the size of the received message.</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As for the D2R message size, RAN2 has agreed to introduce a 1-bit indication to </w:t>
      </w:r>
      <w:r>
        <w:rPr>
          <w:rFonts w:ascii="Times New Roman" w:hAnsi="Times New Roman" w:eastAsia="宋体" w:cs="Times New Roman"/>
          <w:kern w:val="0"/>
          <w:sz w:val="20"/>
          <w:szCs w:val="20"/>
        </w:rPr>
        <w:t>indicate</w:t>
      </w:r>
      <w:r>
        <w:rPr>
          <w:rFonts w:hint="eastAsia" w:ascii="Times New Roman" w:hAnsi="Times New Roman" w:eastAsia="宋体" w:cs="Times New Roman"/>
          <w:kern w:val="0"/>
          <w:sz w:val="20"/>
          <w:szCs w:val="20"/>
        </w:rPr>
        <w:t xml:space="preserve"> whether there is more data, provided that SA2 indicates that the CN can provide an estimated expected D2R message size. According to SA2</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 xml:space="preserve">s reply [2], the CN can provide the reader with the approximate D2R message size if it is an AF request. If not, whether the CN can provide it remains under discussion. However, considering the limited TU, we can continue the discussion on the assumption that the CN cannot provide it in some cases. The sources of the approximate D2R message size are: 1) from the CN and 2) from the device. As we understand, before the reader initiates the R2D transmission procedure, it can determine whether it has obtained the size information from the CN. Then, if the reader has not received </w:t>
      </w:r>
      <w:r>
        <w:rPr>
          <w:rFonts w:ascii="Times New Roman" w:hAnsi="Times New Roman" w:eastAsia="宋体" w:cs="Times New Roman"/>
          <w:kern w:val="0"/>
          <w:sz w:val="20"/>
          <w:szCs w:val="20"/>
        </w:rPr>
        <w:t>the size informaiton</w:t>
      </w:r>
      <w:r>
        <w:rPr>
          <w:rFonts w:hint="eastAsia" w:ascii="Times New Roman" w:hAnsi="Times New Roman" w:eastAsia="宋体" w:cs="Times New Roman"/>
          <w:kern w:val="0"/>
          <w:sz w:val="20"/>
          <w:szCs w:val="20"/>
        </w:rPr>
        <w:t xml:space="preserve"> from the CN, it can request the device to report the approximate size information.</w:t>
      </w:r>
    </w:p>
    <w:p>
      <w:pPr>
        <w:pStyle w:val="285"/>
        <w:numPr>
          <w:ilvl w:val="0"/>
          <w:numId w:val="22"/>
        </w:numPr>
        <w:spacing w:line="360" w:lineRule="auto"/>
        <w:ind w:left="357" w:hanging="357"/>
        <w:rPr>
          <w:rFonts w:ascii="Times New Roman" w:hAnsi="Times New Roman" w:eastAsia="等线"/>
          <w:b/>
          <w:i/>
          <w:iCs/>
          <w:lang w:val="sv"/>
        </w:rPr>
      </w:pPr>
      <w:r>
        <w:rPr>
          <w:rFonts w:ascii="Times New Roman" w:hAnsi="Times New Roman" w:eastAsia="等线"/>
          <w:b/>
          <w:i/>
          <w:iCs/>
          <w:lang w:val="sv"/>
        </w:rPr>
        <w:t>RAN2 to support</w:t>
      </w:r>
      <w:r>
        <w:rPr>
          <w:rFonts w:hint="eastAsia" w:ascii="Times New Roman" w:hAnsi="Times New Roman" w:eastAsia="等线"/>
          <w:b/>
          <w:i/>
          <w:iCs/>
          <w:lang w:val="sv"/>
        </w:rPr>
        <w:t xml:space="preserve"> that the reader can request the device to report the D2R message size when the reader does not obtain such information from the CN.​</w:t>
      </w:r>
    </w:p>
    <w:bookmarkEnd w:id="12"/>
    <w:bookmarkEnd w:id="13"/>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Based on the above analysis, the following proposals are given for A-IoT.</w:t>
      </w:r>
    </w:p>
    <w:p>
      <w:pPr>
        <w:pStyle w:val="285"/>
        <w:numPr>
          <w:ilvl w:val="0"/>
          <w:numId w:val="23"/>
        </w:numPr>
        <w:spacing w:after="120" w:afterLines="50" w:line="360" w:lineRule="auto"/>
        <w:rPr>
          <w:rFonts w:ascii="Times New Roman" w:hAnsi="Times New Roman" w:eastAsia="等线"/>
          <w:b/>
          <w:i/>
          <w:iCs/>
          <w:lang w:val="sv"/>
        </w:rPr>
      </w:pPr>
      <w:r>
        <w:rPr>
          <w:rFonts w:hint="eastAsia" w:ascii="Times New Roman" w:hAnsi="Times New Roman" w:eastAsia="等线"/>
          <w:b/>
          <w:i/>
          <w:iCs/>
        </w:rPr>
        <w:t>No need to support byte-alignment for A-IoT MAC PDU</w:t>
      </w:r>
      <w:r>
        <w:rPr>
          <w:rFonts w:hint="eastAsia" w:ascii="Times New Roman" w:hAnsi="Times New Roman" w:eastAsia="等线"/>
          <w:b/>
          <w:i/>
          <w:iCs/>
          <w:lang w:val="en-US" w:eastAsia="zh-CN"/>
        </w:rPr>
        <w:t>.</w:t>
      </w:r>
    </w:p>
    <w:p>
      <w:pPr>
        <w:pStyle w:val="285"/>
        <w:numPr>
          <w:ilvl w:val="0"/>
          <w:numId w:val="23"/>
        </w:numPr>
        <w:spacing w:after="120" w:afterLines="50" w:line="360" w:lineRule="auto"/>
        <w:rPr>
          <w:rFonts w:ascii="Times New Roman" w:hAnsi="Times New Roman" w:eastAsia="等线"/>
          <w:b/>
          <w:i/>
          <w:iCs/>
          <w:lang w:val="sv"/>
        </w:rPr>
      </w:pPr>
      <w:r>
        <w:rPr>
          <w:rFonts w:hint="eastAsia" w:ascii="Times New Roman" w:hAnsi="Times New Roman" w:eastAsia="等线"/>
          <w:b/>
          <w:i/>
          <w:iCs/>
        </w:rPr>
        <w:t xml:space="preserve">The </w:t>
      </w:r>
      <w:r>
        <w:rPr>
          <w:rFonts w:ascii="Times New Roman" w:hAnsi="Times New Roman" w:eastAsia="等线"/>
          <w:b/>
          <w:i/>
          <w:iCs/>
        </w:rPr>
        <w:t xml:space="preserve">length </w:t>
      </w:r>
      <w:r>
        <w:rPr>
          <w:rFonts w:hint="eastAsia" w:ascii="Times New Roman" w:hAnsi="Times New Roman" w:eastAsia="等线"/>
          <w:b/>
          <w:i/>
          <w:iCs/>
        </w:rPr>
        <w:t xml:space="preserve">of the message type </w:t>
      </w:r>
      <w:r>
        <w:rPr>
          <w:rFonts w:ascii="Times New Roman" w:hAnsi="Times New Roman" w:eastAsia="等线"/>
          <w:b/>
          <w:i/>
          <w:iCs/>
        </w:rPr>
        <w:t xml:space="preserve">field </w:t>
      </w:r>
      <w:r>
        <w:rPr>
          <w:rFonts w:hint="eastAsia" w:ascii="Times New Roman" w:hAnsi="Times New Roman" w:eastAsia="等线"/>
          <w:b/>
          <w:i/>
          <w:iCs/>
        </w:rPr>
        <w:t>is no more than 4</w:t>
      </w:r>
      <w:r>
        <w:rPr>
          <w:rFonts w:ascii="Times New Roman" w:hAnsi="Times New Roman" w:eastAsia="等线"/>
          <w:b/>
          <w:i/>
          <w:iCs/>
        </w:rPr>
        <w:t xml:space="preserve"> bit</w:t>
      </w:r>
      <w:r>
        <w:rPr>
          <w:rFonts w:hint="eastAsia" w:ascii="Times New Roman" w:hAnsi="Times New Roman" w:eastAsia="等线"/>
          <w:b/>
          <w:i/>
          <w:iCs/>
        </w:rPr>
        <w:t>s.</w:t>
      </w:r>
    </w:p>
    <w:p>
      <w:pPr>
        <w:pStyle w:val="285"/>
        <w:numPr>
          <w:ilvl w:val="0"/>
          <w:numId w:val="23"/>
        </w:numPr>
        <w:spacing w:after="120" w:afterLines="50" w:line="360" w:lineRule="auto"/>
        <w:rPr>
          <w:rFonts w:ascii="Times New Roman" w:hAnsi="Times New Roman" w:eastAsia="等线"/>
          <w:b/>
          <w:i/>
          <w:iCs/>
        </w:rPr>
      </w:pPr>
      <w:r>
        <w:rPr>
          <w:rFonts w:hint="eastAsia" w:ascii="Times New Roman" w:hAnsi="Times New Roman" w:eastAsia="等线"/>
          <w:b/>
          <w:i/>
          <w:iCs/>
        </w:rPr>
        <w:t xml:space="preserve">RAN2 to </w:t>
      </w:r>
      <w:r>
        <w:rPr>
          <w:rFonts w:hint="eastAsia" w:ascii="Times New Roman" w:hAnsi="Times New Roman" w:eastAsia="等线"/>
          <w:b/>
          <w:i/>
          <w:iCs/>
          <w:lang w:val="en-US" w:eastAsia="zh-CN"/>
        </w:rPr>
        <w:t>define</w:t>
      </w:r>
      <w:r>
        <w:rPr>
          <w:rFonts w:hint="eastAsia" w:ascii="Times New Roman" w:hAnsi="Times New Roman" w:eastAsia="等线"/>
          <w:b/>
          <w:i/>
          <w:iCs/>
        </w:rPr>
        <w:t xml:space="preserve"> the basic format of MAC PDU</w:t>
      </w:r>
      <w:r>
        <w:rPr>
          <w:rFonts w:hint="eastAsia" w:ascii="Times New Roman" w:hAnsi="Times New Roman" w:eastAsia="等线"/>
          <w:b/>
          <w:i/>
          <w:iCs/>
          <w:lang w:val="en-US" w:eastAsia="zh-CN"/>
        </w:rPr>
        <w:t xml:space="preserve"> as follows</w:t>
      </w:r>
      <w:r>
        <w:rPr>
          <w:rFonts w:hint="eastAsia" w:ascii="Times New Roman" w:hAnsi="Times New Roman" w:eastAsia="等线"/>
          <w:b/>
          <w:i/>
          <w:iCs/>
        </w:rPr>
        <w:t>:</w:t>
      </w:r>
      <w:r>
        <w:rPr>
          <w:rFonts w:hint="eastAsia" w:ascii="Times New Roman" w:hAnsi="Times New Roman" w:eastAsia="等线"/>
          <w:b/>
          <w:i/>
          <w:iCs/>
          <w:lang w:val="en-US" w:eastAsia="zh-CN"/>
        </w:rPr>
        <w:t xml:space="preserve"> </w:t>
      </w:r>
      <w:r>
        <w:rPr>
          <w:rFonts w:hint="eastAsia" w:ascii="Times New Roman" w:hAnsi="Times New Roman" w:eastAsia="等线"/>
          <w:b/>
          <w:i/>
          <w:iCs/>
        </w:rPr>
        <w:t xml:space="preserve">a MAC PDU consists of </w:t>
      </w:r>
      <w:r>
        <w:rPr>
          <w:rFonts w:hint="eastAsia" w:ascii="Times New Roman" w:hAnsi="Times New Roman" w:eastAsia="等线"/>
          <w:b/>
          <w:i/>
          <w:iCs/>
          <w:lang w:val="en-US" w:eastAsia="zh-CN"/>
        </w:rPr>
        <w:t xml:space="preserve">one header and </w:t>
      </w:r>
      <w:r>
        <w:rPr>
          <w:rFonts w:hint="eastAsia" w:ascii="Times New Roman" w:hAnsi="Times New Roman" w:eastAsia="等线"/>
          <w:b/>
          <w:i/>
          <w:iCs/>
        </w:rPr>
        <w:t>one or more MAC subPDUs</w:t>
      </w:r>
      <w:r>
        <w:rPr>
          <w:rFonts w:hint="eastAsia" w:ascii="Times New Roman" w:hAnsi="Times New Roman" w:eastAsia="等线"/>
          <w:b/>
          <w:i/>
          <w:iCs/>
          <w:lang w:val="en-US" w:eastAsia="zh-CN"/>
        </w:rPr>
        <w:t>.</w:t>
      </w:r>
    </w:p>
    <w:p>
      <w:pPr>
        <w:pStyle w:val="285"/>
        <w:numPr>
          <w:ilvl w:val="0"/>
          <w:numId w:val="23"/>
        </w:numPr>
        <w:spacing w:after="120" w:afterLines="50" w:line="360" w:lineRule="auto"/>
        <w:rPr>
          <w:rFonts w:ascii="Times New Roman" w:hAnsi="Times New Roman"/>
          <w:b/>
          <w:i/>
          <w:iCs/>
        </w:rPr>
      </w:pPr>
      <w:r>
        <w:rPr>
          <w:rFonts w:hint="eastAsia" w:ascii="Times New Roman" w:hAnsi="Times New Roman"/>
          <w:b/>
          <w:i/>
          <w:iCs/>
        </w:rPr>
        <w:t>For CFRA, the AS ID is assigned in the first Command message. For CBRA, the AS ID is assigned in Msg2.</w:t>
      </w:r>
      <w:bookmarkStart w:id="14" w:name="_GoBack"/>
      <w:bookmarkEnd w:id="14"/>
    </w:p>
    <w:p>
      <w:pPr>
        <w:pStyle w:val="285"/>
        <w:numPr>
          <w:ilvl w:val="0"/>
          <w:numId w:val="23"/>
        </w:numPr>
        <w:spacing w:after="120" w:afterLines="50" w:line="360" w:lineRule="auto"/>
        <w:rPr>
          <w:rFonts w:ascii="Times New Roman" w:hAnsi="Times New Roman"/>
          <w:b/>
          <w:i/>
          <w:iCs/>
        </w:rPr>
      </w:pPr>
      <w:r>
        <w:rPr>
          <w:rFonts w:ascii="Times New Roman" w:hAnsi="Times New Roman"/>
          <w:b/>
          <w:i/>
          <w:iCs/>
        </w:rPr>
        <w:t>Regarding the validity of AS ID</w:t>
      </w:r>
      <w:r>
        <w:rPr>
          <w:rFonts w:hint="eastAsia" w:ascii="Times New Roman" w:hAnsi="Times New Roman" w:eastAsia="宋体"/>
          <w:b/>
          <w:i/>
          <w:iCs/>
          <w:lang w:val="en-US" w:eastAsia="zh-CN"/>
        </w:rPr>
        <w:t xml:space="preserve">, </w:t>
      </w:r>
      <w:r>
        <w:rPr>
          <w:rFonts w:hint="eastAsia" w:ascii="Times New Roman" w:hAnsi="Times New Roman"/>
          <w:b/>
          <w:i/>
          <w:iCs/>
        </w:rPr>
        <w:t>AS ID</w:t>
      </w:r>
      <w:r>
        <w:rPr>
          <w:rFonts w:ascii="Times New Roman" w:hAnsi="Times New Roman" w:eastAsia="Calibri"/>
          <w:b/>
          <w:i/>
          <w:iCs/>
        </w:rPr>
        <w:t xml:space="preserve"> could</w:t>
      </w:r>
      <w:r>
        <w:rPr>
          <w:rFonts w:asciiTheme="minorEastAsia" w:hAnsiTheme="minorEastAsia" w:eastAsiaTheme="minorEastAsia"/>
          <w:b/>
          <w:i/>
          <w:iCs/>
        </w:rPr>
        <w:t xml:space="preserve"> </w:t>
      </w:r>
      <w:r>
        <w:rPr>
          <w:rFonts w:hint="eastAsia" w:ascii="Times New Roman" w:hAnsi="Times New Roman"/>
          <w:b/>
          <w:i/>
          <w:iCs/>
        </w:rPr>
        <w:t>become invalid upon receiving a paging message.</w:t>
      </w:r>
    </w:p>
    <w:p>
      <w:pPr>
        <w:pStyle w:val="285"/>
        <w:numPr>
          <w:ilvl w:val="0"/>
          <w:numId w:val="23"/>
        </w:numPr>
        <w:spacing w:after="120" w:afterLines="50" w:line="360" w:lineRule="auto"/>
        <w:rPr>
          <w:rFonts w:ascii="Times New Roman" w:hAnsi="Times New Roman"/>
          <w:b/>
          <w:i/>
          <w:iCs/>
        </w:rPr>
      </w:pPr>
      <w:r>
        <w:rPr>
          <w:rFonts w:hint="eastAsia" w:ascii="Times New Roman" w:hAnsi="Times New Roman"/>
          <w:b/>
          <w:i/>
          <w:iCs/>
        </w:rPr>
        <w:t xml:space="preserve">For the retransmission of both the first segment and subsequent segments, the R2D trigger message </w:t>
      </w:r>
      <w:r>
        <w:rPr>
          <w:rFonts w:ascii="Times New Roman" w:hAnsi="Times New Roman"/>
          <w:b/>
          <w:i/>
          <w:iCs/>
        </w:rPr>
        <w:t>could</w:t>
      </w:r>
      <w:r>
        <w:rPr>
          <w:rFonts w:hint="eastAsia" w:ascii="Times New Roman" w:hAnsi="Times New Roman"/>
          <w:b/>
          <w:i/>
          <w:iCs/>
        </w:rPr>
        <w:t xml:space="preserve"> separately include the command indication and the size of the received message.</w:t>
      </w:r>
    </w:p>
    <w:p>
      <w:pPr>
        <w:pStyle w:val="285"/>
        <w:numPr>
          <w:ilvl w:val="0"/>
          <w:numId w:val="23"/>
        </w:numPr>
        <w:spacing w:line="360" w:lineRule="auto"/>
        <w:ind w:left="357" w:hanging="357"/>
        <w:rPr>
          <w:rFonts w:hint="eastAsia" w:ascii="Times New Roman" w:hAnsi="Times New Roman" w:eastAsia="宋体" w:cs="Times New Roman"/>
          <w:kern w:val="0"/>
          <w:sz w:val="20"/>
          <w:szCs w:val="20"/>
        </w:rPr>
      </w:pPr>
      <w:r>
        <w:rPr>
          <w:rFonts w:ascii="Times New Roman" w:hAnsi="Times New Roman" w:eastAsia="等线"/>
          <w:b/>
          <w:i/>
          <w:iCs/>
          <w:lang w:val="sv"/>
        </w:rPr>
        <w:t>RAN2 to support</w:t>
      </w:r>
      <w:r>
        <w:rPr>
          <w:rFonts w:hint="eastAsia" w:ascii="Times New Roman" w:hAnsi="Times New Roman" w:eastAsia="等线"/>
          <w:b/>
          <w:i/>
          <w:iCs/>
          <w:lang w:val="sv"/>
        </w:rPr>
        <w:t xml:space="preserve"> that the reader can request the device to report the D2R message size when the reader does not obtain such information from the CN.​</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widowControl/>
        <w:numPr>
          <w:ilvl w:val="0"/>
          <w:numId w:val="24"/>
        </w:numPr>
        <w:spacing w:after="120"/>
        <w:jc w:val="left"/>
        <w:rPr>
          <w:rFonts w:eastAsia="宋体"/>
        </w:rPr>
      </w:pPr>
      <w:r>
        <w:rPr>
          <w:rFonts w:hint="eastAsia" w:ascii="Times New Roman" w:hAnsi="Times New Roman" w:eastAsia="宋体" w:cs="Times New Roman"/>
          <w:kern w:val="0"/>
          <w:sz w:val="20"/>
          <w:szCs w:val="20"/>
        </w:rPr>
        <w:t>3GPP RAN2#129 Chair notes.</w:t>
      </w:r>
    </w:p>
    <w:p>
      <w:pPr>
        <w:widowControl/>
        <w:numPr>
          <w:ilvl w:val="0"/>
          <w:numId w:val="24"/>
        </w:numPr>
        <w:spacing w:after="120"/>
        <w:jc w:val="left"/>
        <w:rPr>
          <w:rFonts w:eastAsia="宋体"/>
        </w:rPr>
      </w:pPr>
      <w:r>
        <w:rPr>
          <w:rFonts w:hint="eastAsia" w:ascii="Times New Roman" w:hAnsi="Times New Roman" w:eastAsia="宋体" w:cs="Times New Roman"/>
          <w:kern w:val="0"/>
          <w:sz w:val="20"/>
          <w:szCs w:val="20"/>
        </w:rPr>
        <w:t>R2-2500052, LS on A-IoT Conclusions in SA WG2.</w:t>
      </w:r>
    </w:p>
    <w:p>
      <w:pPr>
        <w:pStyle w:val="34"/>
        <w:rPr>
          <w:lang w:eastAsia="zh-CN"/>
        </w:rPr>
      </w:pP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0"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48A0D"/>
    <w:multiLevelType w:val="multilevel"/>
    <w:tmpl w:val="9E548A0D"/>
    <w:lvl w:ilvl="0" w:tentative="0">
      <w:start w:val="1"/>
      <w:numFmt w:val="decimal"/>
      <w:lvlText w:val="Proposal %1."/>
      <w:lvlJc w:val="left"/>
      <w:pPr>
        <w:ind w:left="360" w:hanging="36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442352"/>
    <w:multiLevelType w:val="singleLevel"/>
    <w:tmpl w:val="F1442352"/>
    <w:lvl w:ilvl="0" w:tentative="0">
      <w:start w:val="1"/>
      <w:numFmt w:val="bullet"/>
      <w:lvlText w:val=""/>
      <w:lvlJc w:val="left"/>
      <w:pPr>
        <w:ind w:left="420" w:hanging="420"/>
      </w:pPr>
      <w:rPr>
        <w:rFonts w:hint="default" w:ascii="Symbol" w:hAnsi="Symbol" w:cs="Symbol"/>
      </w:rPr>
    </w:lvl>
  </w:abstractNum>
  <w:abstractNum w:abstractNumId="2">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2">
    <w:nsid w:val="094D7514"/>
    <w:multiLevelType w:val="multilevel"/>
    <w:tmpl w:val="094D751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3">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5">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7">
    <w:nsid w:val="490A3E85"/>
    <w:multiLevelType w:val="singleLevel"/>
    <w:tmpl w:val="490A3E85"/>
    <w:lvl w:ilvl="0" w:tentative="0">
      <w:start w:val="1"/>
      <w:numFmt w:val="bullet"/>
      <w:lvlText w:val=""/>
      <w:lvlJc w:val="left"/>
      <w:pPr>
        <w:ind w:left="420" w:hanging="420"/>
      </w:pPr>
      <w:rPr>
        <w:rFonts w:hint="default" w:ascii="Symbol" w:hAnsi="Symbol" w:cs="Symbol"/>
      </w:rPr>
    </w:lvl>
  </w:abstractNum>
  <w:abstractNum w:abstractNumId="18">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1">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7D439EF4"/>
    <w:multiLevelType w:val="multilevel"/>
    <w:tmpl w:val="7D439EF4"/>
    <w:lvl w:ilvl="0" w:tentative="0">
      <w:start w:val="1"/>
      <w:numFmt w:val="decimal"/>
      <w:lvlText w:val="Proposal %1."/>
      <w:lvlJc w:val="left"/>
      <w:pPr>
        <w:ind w:left="360" w:hanging="36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21"/>
  </w:num>
  <w:num w:numId="8">
    <w:abstractNumId w:val="9"/>
  </w:num>
  <w:num w:numId="9">
    <w:abstractNumId w:val="6"/>
  </w:num>
  <w:num w:numId="10">
    <w:abstractNumId w:val="3"/>
  </w:num>
  <w:num w:numId="11">
    <w:abstractNumId w:val="2"/>
  </w:num>
  <w:num w:numId="12">
    <w:abstractNumId w:val="18"/>
  </w:num>
  <w:num w:numId="13">
    <w:abstractNumId w:val="15"/>
  </w:num>
  <w:num w:numId="14">
    <w:abstractNumId w:val="16"/>
  </w:num>
  <w:num w:numId="15">
    <w:abstractNumId w:val="13"/>
  </w:num>
  <w:num w:numId="16">
    <w:abstractNumId w:val="20"/>
  </w:num>
  <w:num w:numId="17">
    <w:abstractNumId w:val="14"/>
  </w:num>
  <w:num w:numId="18">
    <w:abstractNumId w:val="19"/>
  </w:num>
  <w:num w:numId="19">
    <w:abstractNumId w:val="12"/>
  </w:num>
  <w:num w:numId="20">
    <w:abstractNumId w:val="17"/>
  </w:num>
  <w:num w:numId="21">
    <w:abstractNumId w:val="1"/>
  </w:num>
  <w:num w:numId="22">
    <w:abstractNumId w:val="0"/>
  </w:num>
  <w:num w:numId="23">
    <w:abstractNumId w:val="23"/>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92A"/>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9C2"/>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327"/>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391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3D7"/>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42"/>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1E1A"/>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6E6"/>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4"/>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D72"/>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1F3B"/>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177"/>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501"/>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1CD"/>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5B7"/>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3D61"/>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88C"/>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6B3DE1"/>
    <w:rsid w:val="01923B0A"/>
    <w:rsid w:val="01D03B06"/>
    <w:rsid w:val="02E76B51"/>
    <w:rsid w:val="02FA5B72"/>
    <w:rsid w:val="039D4465"/>
    <w:rsid w:val="03DA2C61"/>
    <w:rsid w:val="03F66D0E"/>
    <w:rsid w:val="04B34B43"/>
    <w:rsid w:val="04F5363F"/>
    <w:rsid w:val="054E4D41"/>
    <w:rsid w:val="05BD1814"/>
    <w:rsid w:val="05DA4EBC"/>
    <w:rsid w:val="05E277B3"/>
    <w:rsid w:val="0612566B"/>
    <w:rsid w:val="06334EE0"/>
    <w:rsid w:val="06BD64A9"/>
    <w:rsid w:val="06CE4C78"/>
    <w:rsid w:val="070C181F"/>
    <w:rsid w:val="076F023F"/>
    <w:rsid w:val="07A71963"/>
    <w:rsid w:val="07FD6BA9"/>
    <w:rsid w:val="0834182C"/>
    <w:rsid w:val="088D4087"/>
    <w:rsid w:val="08A53B3F"/>
    <w:rsid w:val="08B56357"/>
    <w:rsid w:val="08E81E12"/>
    <w:rsid w:val="090360D7"/>
    <w:rsid w:val="09705425"/>
    <w:rsid w:val="09DE4A06"/>
    <w:rsid w:val="09F446A6"/>
    <w:rsid w:val="0B8E538E"/>
    <w:rsid w:val="0BAF57FE"/>
    <w:rsid w:val="0BB721C8"/>
    <w:rsid w:val="0C053C2E"/>
    <w:rsid w:val="0C3E7B22"/>
    <w:rsid w:val="0C747FFC"/>
    <w:rsid w:val="0CC051C1"/>
    <w:rsid w:val="0CD42136"/>
    <w:rsid w:val="0D1C7510"/>
    <w:rsid w:val="0D7B4307"/>
    <w:rsid w:val="0D7D62B0"/>
    <w:rsid w:val="0D8C535C"/>
    <w:rsid w:val="0D906017"/>
    <w:rsid w:val="0DA2082D"/>
    <w:rsid w:val="0DC573BC"/>
    <w:rsid w:val="0DCF2837"/>
    <w:rsid w:val="0DD1524A"/>
    <w:rsid w:val="0DD86840"/>
    <w:rsid w:val="0DF208EC"/>
    <w:rsid w:val="0F394008"/>
    <w:rsid w:val="0FD30983"/>
    <w:rsid w:val="0FFB6025"/>
    <w:rsid w:val="10083C9F"/>
    <w:rsid w:val="107F20B1"/>
    <w:rsid w:val="108E4939"/>
    <w:rsid w:val="10B7034C"/>
    <w:rsid w:val="10C5539E"/>
    <w:rsid w:val="110745E3"/>
    <w:rsid w:val="11130582"/>
    <w:rsid w:val="113F3DEC"/>
    <w:rsid w:val="11624912"/>
    <w:rsid w:val="118947D1"/>
    <w:rsid w:val="11A3317D"/>
    <w:rsid w:val="11CA68BF"/>
    <w:rsid w:val="11DC67DA"/>
    <w:rsid w:val="125A4EAA"/>
    <w:rsid w:val="12FD2134"/>
    <w:rsid w:val="130265BC"/>
    <w:rsid w:val="130C6ECC"/>
    <w:rsid w:val="13345CB1"/>
    <w:rsid w:val="134B7CB5"/>
    <w:rsid w:val="135A4A4C"/>
    <w:rsid w:val="13AB3552"/>
    <w:rsid w:val="14363136"/>
    <w:rsid w:val="14C41AA0"/>
    <w:rsid w:val="15292BD1"/>
    <w:rsid w:val="15BA32B2"/>
    <w:rsid w:val="15C23F41"/>
    <w:rsid w:val="15EF5D0A"/>
    <w:rsid w:val="163409FD"/>
    <w:rsid w:val="163E0B16"/>
    <w:rsid w:val="16655682"/>
    <w:rsid w:val="16761466"/>
    <w:rsid w:val="1696521E"/>
    <w:rsid w:val="169A3446"/>
    <w:rsid w:val="16D94F98"/>
    <w:rsid w:val="17364B70"/>
    <w:rsid w:val="173F6658"/>
    <w:rsid w:val="176048E7"/>
    <w:rsid w:val="17636AF8"/>
    <w:rsid w:val="177A3B5A"/>
    <w:rsid w:val="17C31108"/>
    <w:rsid w:val="17EB371F"/>
    <w:rsid w:val="17EE3247"/>
    <w:rsid w:val="18095983"/>
    <w:rsid w:val="18265E81"/>
    <w:rsid w:val="183563D5"/>
    <w:rsid w:val="188126FA"/>
    <w:rsid w:val="188A1105"/>
    <w:rsid w:val="188A3040"/>
    <w:rsid w:val="18AD238B"/>
    <w:rsid w:val="18AE411E"/>
    <w:rsid w:val="18FD6EB0"/>
    <w:rsid w:val="197C5533"/>
    <w:rsid w:val="19AB53DA"/>
    <w:rsid w:val="19DC4FFB"/>
    <w:rsid w:val="19E70E0E"/>
    <w:rsid w:val="1A2C1CD1"/>
    <w:rsid w:val="1A9D2DFB"/>
    <w:rsid w:val="1AAF5F88"/>
    <w:rsid w:val="1ACC2EC5"/>
    <w:rsid w:val="1AE73884"/>
    <w:rsid w:val="1B6E330B"/>
    <w:rsid w:val="1B6E7990"/>
    <w:rsid w:val="1BA76221"/>
    <w:rsid w:val="1BC46583"/>
    <w:rsid w:val="1C9828F5"/>
    <w:rsid w:val="1CA51CE8"/>
    <w:rsid w:val="1CBC79A9"/>
    <w:rsid w:val="1CD63801"/>
    <w:rsid w:val="1CE85325"/>
    <w:rsid w:val="1D050D2B"/>
    <w:rsid w:val="1D143544"/>
    <w:rsid w:val="1D1631C4"/>
    <w:rsid w:val="1D1F3AD3"/>
    <w:rsid w:val="1D3A1AFC"/>
    <w:rsid w:val="1D3B3A62"/>
    <w:rsid w:val="1D8D2F01"/>
    <w:rsid w:val="1DAC27BE"/>
    <w:rsid w:val="1DAC2BE5"/>
    <w:rsid w:val="1DAD7D2C"/>
    <w:rsid w:val="1E480D33"/>
    <w:rsid w:val="1E8A0B27"/>
    <w:rsid w:val="1EDA542E"/>
    <w:rsid w:val="1EEB78C7"/>
    <w:rsid w:val="1F616DF3"/>
    <w:rsid w:val="1F63408D"/>
    <w:rsid w:val="1F7222FA"/>
    <w:rsid w:val="1FC30874"/>
    <w:rsid w:val="200D4526"/>
    <w:rsid w:val="20531999"/>
    <w:rsid w:val="2066657B"/>
    <w:rsid w:val="20901F59"/>
    <w:rsid w:val="20A11AB0"/>
    <w:rsid w:val="20EC6113"/>
    <w:rsid w:val="20EE004B"/>
    <w:rsid w:val="215152D5"/>
    <w:rsid w:val="220C3FEC"/>
    <w:rsid w:val="22241693"/>
    <w:rsid w:val="226E5336"/>
    <w:rsid w:val="2270048D"/>
    <w:rsid w:val="22AA111D"/>
    <w:rsid w:val="22E55ECD"/>
    <w:rsid w:val="22FD3574"/>
    <w:rsid w:val="230A3782"/>
    <w:rsid w:val="23681EC9"/>
    <w:rsid w:val="23E4570A"/>
    <w:rsid w:val="23F20E82"/>
    <w:rsid w:val="24051BA8"/>
    <w:rsid w:val="24146466"/>
    <w:rsid w:val="249F6523"/>
    <w:rsid w:val="25A64BC8"/>
    <w:rsid w:val="263F3343"/>
    <w:rsid w:val="267D7CB3"/>
    <w:rsid w:val="26A9784C"/>
    <w:rsid w:val="26E541DF"/>
    <w:rsid w:val="26F07FF2"/>
    <w:rsid w:val="27550E8B"/>
    <w:rsid w:val="2759091B"/>
    <w:rsid w:val="275F2824"/>
    <w:rsid w:val="27E97C88"/>
    <w:rsid w:val="28044637"/>
    <w:rsid w:val="28165655"/>
    <w:rsid w:val="2827226D"/>
    <w:rsid w:val="28275AF0"/>
    <w:rsid w:val="28854AD1"/>
    <w:rsid w:val="28D44C9D"/>
    <w:rsid w:val="28DB050D"/>
    <w:rsid w:val="28DE3F9A"/>
    <w:rsid w:val="293247F6"/>
    <w:rsid w:val="293D1DB5"/>
    <w:rsid w:val="29627BC5"/>
    <w:rsid w:val="29645895"/>
    <w:rsid w:val="29E4170D"/>
    <w:rsid w:val="29EF6EF2"/>
    <w:rsid w:val="29F67C23"/>
    <w:rsid w:val="2AF46F08"/>
    <w:rsid w:val="2BB4773C"/>
    <w:rsid w:val="2C1E78EF"/>
    <w:rsid w:val="2C2262F5"/>
    <w:rsid w:val="2C300E8E"/>
    <w:rsid w:val="2C4757B5"/>
    <w:rsid w:val="2C5113C3"/>
    <w:rsid w:val="2C7B2207"/>
    <w:rsid w:val="2CC77187"/>
    <w:rsid w:val="2D421FD0"/>
    <w:rsid w:val="2E18478B"/>
    <w:rsid w:val="2E402DEC"/>
    <w:rsid w:val="2EAE1759"/>
    <w:rsid w:val="2ECF17F7"/>
    <w:rsid w:val="2FB9045A"/>
    <w:rsid w:val="2FC27944"/>
    <w:rsid w:val="30191835"/>
    <w:rsid w:val="30A91F61"/>
    <w:rsid w:val="3105267B"/>
    <w:rsid w:val="31432F7B"/>
    <w:rsid w:val="317C583F"/>
    <w:rsid w:val="31E569A9"/>
    <w:rsid w:val="32A233A1"/>
    <w:rsid w:val="332A1DF7"/>
    <w:rsid w:val="33313F09"/>
    <w:rsid w:val="33421C25"/>
    <w:rsid w:val="33995EB7"/>
    <w:rsid w:val="33A63DAB"/>
    <w:rsid w:val="33B00F80"/>
    <w:rsid w:val="33D37459"/>
    <w:rsid w:val="33E42043"/>
    <w:rsid w:val="33E62733"/>
    <w:rsid w:val="340919EE"/>
    <w:rsid w:val="34413D46"/>
    <w:rsid w:val="349E665E"/>
    <w:rsid w:val="34B01200"/>
    <w:rsid w:val="34C929E0"/>
    <w:rsid w:val="34DB1112"/>
    <w:rsid w:val="351C3576"/>
    <w:rsid w:val="358024D4"/>
    <w:rsid w:val="35E129CB"/>
    <w:rsid w:val="35E269F8"/>
    <w:rsid w:val="35FE0421"/>
    <w:rsid w:val="36231CDE"/>
    <w:rsid w:val="362F3572"/>
    <w:rsid w:val="36561233"/>
    <w:rsid w:val="366208C9"/>
    <w:rsid w:val="36D76309"/>
    <w:rsid w:val="36F6333B"/>
    <w:rsid w:val="375D6894"/>
    <w:rsid w:val="37617FCF"/>
    <w:rsid w:val="37AC3905"/>
    <w:rsid w:val="37C75C12"/>
    <w:rsid w:val="37CD7B1B"/>
    <w:rsid w:val="37D00A9F"/>
    <w:rsid w:val="37D75EAC"/>
    <w:rsid w:val="38543277"/>
    <w:rsid w:val="385E4E8B"/>
    <w:rsid w:val="38C12712"/>
    <w:rsid w:val="39635633"/>
    <w:rsid w:val="397E74E1"/>
    <w:rsid w:val="3981700C"/>
    <w:rsid w:val="399107DA"/>
    <w:rsid w:val="39C87543"/>
    <w:rsid w:val="39DA1A05"/>
    <w:rsid w:val="3A03773A"/>
    <w:rsid w:val="3A2F68BD"/>
    <w:rsid w:val="3A987C2E"/>
    <w:rsid w:val="3AF060BE"/>
    <w:rsid w:val="3B4B0D56"/>
    <w:rsid w:val="3B9A4359"/>
    <w:rsid w:val="3BD31F34"/>
    <w:rsid w:val="3BF511EF"/>
    <w:rsid w:val="3C123B29"/>
    <w:rsid w:val="3C263F3D"/>
    <w:rsid w:val="3C2760B3"/>
    <w:rsid w:val="3C2B1D49"/>
    <w:rsid w:val="3CCC59CF"/>
    <w:rsid w:val="3D07322A"/>
    <w:rsid w:val="3D407F0C"/>
    <w:rsid w:val="3D4C74A5"/>
    <w:rsid w:val="3D6830C4"/>
    <w:rsid w:val="3DC36006"/>
    <w:rsid w:val="3DD119FA"/>
    <w:rsid w:val="3E3C10A9"/>
    <w:rsid w:val="3E640997"/>
    <w:rsid w:val="3EA73F3C"/>
    <w:rsid w:val="3EDC58F6"/>
    <w:rsid w:val="3EEF1AD2"/>
    <w:rsid w:val="3F6C179B"/>
    <w:rsid w:val="3F890D4B"/>
    <w:rsid w:val="3F9B62FD"/>
    <w:rsid w:val="3FBB1942"/>
    <w:rsid w:val="3FE40160"/>
    <w:rsid w:val="4057146E"/>
    <w:rsid w:val="405939A2"/>
    <w:rsid w:val="40830F63"/>
    <w:rsid w:val="40A44D1B"/>
    <w:rsid w:val="40F819A3"/>
    <w:rsid w:val="414C642D"/>
    <w:rsid w:val="415345D2"/>
    <w:rsid w:val="41A13939"/>
    <w:rsid w:val="41B30DBC"/>
    <w:rsid w:val="41BF2EE9"/>
    <w:rsid w:val="41CB46E9"/>
    <w:rsid w:val="4216717B"/>
    <w:rsid w:val="426E58C4"/>
    <w:rsid w:val="43572665"/>
    <w:rsid w:val="43861D09"/>
    <w:rsid w:val="43C348B8"/>
    <w:rsid w:val="43C83A33"/>
    <w:rsid w:val="444C538B"/>
    <w:rsid w:val="44531FA9"/>
    <w:rsid w:val="4494718F"/>
    <w:rsid w:val="44BC6155"/>
    <w:rsid w:val="44BF3856"/>
    <w:rsid w:val="45084F4F"/>
    <w:rsid w:val="45300692"/>
    <w:rsid w:val="45855414"/>
    <w:rsid w:val="45B75102"/>
    <w:rsid w:val="464004CF"/>
    <w:rsid w:val="47087F18"/>
    <w:rsid w:val="47293CD0"/>
    <w:rsid w:val="472C4C55"/>
    <w:rsid w:val="47830D71"/>
    <w:rsid w:val="478552E3"/>
    <w:rsid w:val="478D5F73"/>
    <w:rsid w:val="47C34DC8"/>
    <w:rsid w:val="47E00AF1"/>
    <w:rsid w:val="482573EB"/>
    <w:rsid w:val="487E54FB"/>
    <w:rsid w:val="48AF04A1"/>
    <w:rsid w:val="48AF30A8"/>
    <w:rsid w:val="48BB5A04"/>
    <w:rsid w:val="48C301EE"/>
    <w:rsid w:val="48E716A7"/>
    <w:rsid w:val="497808E1"/>
    <w:rsid w:val="49AC5723"/>
    <w:rsid w:val="4A0B5F87"/>
    <w:rsid w:val="4A154318"/>
    <w:rsid w:val="4A22142F"/>
    <w:rsid w:val="4A2C3F3D"/>
    <w:rsid w:val="4A70372C"/>
    <w:rsid w:val="4AF667A1"/>
    <w:rsid w:val="4B270CDD"/>
    <w:rsid w:val="4B3063AA"/>
    <w:rsid w:val="4B4E035E"/>
    <w:rsid w:val="4B5E7B32"/>
    <w:rsid w:val="4B5F643E"/>
    <w:rsid w:val="4B917087"/>
    <w:rsid w:val="4BB835B6"/>
    <w:rsid w:val="4C33574D"/>
    <w:rsid w:val="4C561F0E"/>
    <w:rsid w:val="4C63431C"/>
    <w:rsid w:val="4C6D57EC"/>
    <w:rsid w:val="4C8B4D21"/>
    <w:rsid w:val="4CC01CF8"/>
    <w:rsid w:val="4D0363AD"/>
    <w:rsid w:val="4D0619FF"/>
    <w:rsid w:val="4D633D0B"/>
    <w:rsid w:val="4D8D5BC8"/>
    <w:rsid w:val="4DC61225"/>
    <w:rsid w:val="4DE07BD1"/>
    <w:rsid w:val="4DF7054A"/>
    <w:rsid w:val="4E0562E6"/>
    <w:rsid w:val="4E3D15EA"/>
    <w:rsid w:val="4F522031"/>
    <w:rsid w:val="4F707062"/>
    <w:rsid w:val="4F8E4414"/>
    <w:rsid w:val="4F9668F1"/>
    <w:rsid w:val="4FA17831"/>
    <w:rsid w:val="4FDA045F"/>
    <w:rsid w:val="501A63B7"/>
    <w:rsid w:val="502B7796"/>
    <w:rsid w:val="5038102A"/>
    <w:rsid w:val="50470E48"/>
    <w:rsid w:val="50803722"/>
    <w:rsid w:val="50891D2D"/>
    <w:rsid w:val="50CE033F"/>
    <w:rsid w:val="50E23A41"/>
    <w:rsid w:val="50F0440A"/>
    <w:rsid w:val="511E0023"/>
    <w:rsid w:val="512C0A59"/>
    <w:rsid w:val="513177DB"/>
    <w:rsid w:val="51427728"/>
    <w:rsid w:val="51597A9B"/>
    <w:rsid w:val="51FA6427"/>
    <w:rsid w:val="520738B2"/>
    <w:rsid w:val="52545EA1"/>
    <w:rsid w:val="525E4232"/>
    <w:rsid w:val="52611934"/>
    <w:rsid w:val="526F1F4E"/>
    <w:rsid w:val="52920B68"/>
    <w:rsid w:val="52A1019F"/>
    <w:rsid w:val="52E070D4"/>
    <w:rsid w:val="52E73D22"/>
    <w:rsid w:val="52F738A0"/>
    <w:rsid w:val="53213033"/>
    <w:rsid w:val="5328717E"/>
    <w:rsid w:val="534D06B4"/>
    <w:rsid w:val="534F4E11"/>
    <w:rsid w:val="5351002F"/>
    <w:rsid w:val="53AA52E3"/>
    <w:rsid w:val="53E20B6E"/>
    <w:rsid w:val="540909EB"/>
    <w:rsid w:val="55094A2A"/>
    <w:rsid w:val="554B00FD"/>
    <w:rsid w:val="559F40AD"/>
    <w:rsid w:val="55B7742C"/>
    <w:rsid w:val="56006CBD"/>
    <w:rsid w:val="56242DB2"/>
    <w:rsid w:val="56313B8B"/>
    <w:rsid w:val="567C49C5"/>
    <w:rsid w:val="56976371"/>
    <w:rsid w:val="58765E96"/>
    <w:rsid w:val="58E1540A"/>
    <w:rsid w:val="592B1245"/>
    <w:rsid w:val="595F092C"/>
    <w:rsid w:val="59B36D38"/>
    <w:rsid w:val="59BE6718"/>
    <w:rsid w:val="59FD5EB2"/>
    <w:rsid w:val="5A571A44"/>
    <w:rsid w:val="5A685562"/>
    <w:rsid w:val="5A945FE1"/>
    <w:rsid w:val="5AB94067"/>
    <w:rsid w:val="5ADB498C"/>
    <w:rsid w:val="5AF2428E"/>
    <w:rsid w:val="5AFB17C0"/>
    <w:rsid w:val="5B0B0F4F"/>
    <w:rsid w:val="5B836FB3"/>
    <w:rsid w:val="5BB000E1"/>
    <w:rsid w:val="5CC62AC2"/>
    <w:rsid w:val="5CF3268D"/>
    <w:rsid w:val="5D281862"/>
    <w:rsid w:val="5D946993"/>
    <w:rsid w:val="5DC0655D"/>
    <w:rsid w:val="5DE271F3"/>
    <w:rsid w:val="5DFC0B37"/>
    <w:rsid w:val="5DFD6972"/>
    <w:rsid w:val="5E01151C"/>
    <w:rsid w:val="5E843549"/>
    <w:rsid w:val="5EAD1F71"/>
    <w:rsid w:val="5ECC1F13"/>
    <w:rsid w:val="5EE842C4"/>
    <w:rsid w:val="5EFF5265"/>
    <w:rsid w:val="5F0C4760"/>
    <w:rsid w:val="5F25254F"/>
    <w:rsid w:val="5F3C12CD"/>
    <w:rsid w:val="5F546974"/>
    <w:rsid w:val="5F7062A4"/>
    <w:rsid w:val="5F777E2D"/>
    <w:rsid w:val="5F8116DF"/>
    <w:rsid w:val="5F9573DD"/>
    <w:rsid w:val="5F9F7CED"/>
    <w:rsid w:val="5FB85324"/>
    <w:rsid w:val="5FFD5B08"/>
    <w:rsid w:val="600F7B2E"/>
    <w:rsid w:val="6030554B"/>
    <w:rsid w:val="60423F87"/>
    <w:rsid w:val="604C110A"/>
    <w:rsid w:val="605C13A4"/>
    <w:rsid w:val="605E7463"/>
    <w:rsid w:val="60767D50"/>
    <w:rsid w:val="60805DB4"/>
    <w:rsid w:val="610D6FCA"/>
    <w:rsid w:val="612417ED"/>
    <w:rsid w:val="612E74FF"/>
    <w:rsid w:val="61946EA3"/>
    <w:rsid w:val="619501A8"/>
    <w:rsid w:val="619736AB"/>
    <w:rsid w:val="61BA5A38"/>
    <w:rsid w:val="61C4248D"/>
    <w:rsid w:val="61D31386"/>
    <w:rsid w:val="6284202E"/>
    <w:rsid w:val="629C3A86"/>
    <w:rsid w:val="62B21879"/>
    <w:rsid w:val="63AD0817"/>
    <w:rsid w:val="63B36E9D"/>
    <w:rsid w:val="646060BC"/>
    <w:rsid w:val="64A5552C"/>
    <w:rsid w:val="65A11F4C"/>
    <w:rsid w:val="65E174B2"/>
    <w:rsid w:val="66803B38"/>
    <w:rsid w:val="66B94F97"/>
    <w:rsid w:val="66BE51C8"/>
    <w:rsid w:val="66C303CC"/>
    <w:rsid w:val="677C4CD5"/>
    <w:rsid w:val="67A44560"/>
    <w:rsid w:val="67BE2F6F"/>
    <w:rsid w:val="67F87EA2"/>
    <w:rsid w:val="688F2246"/>
    <w:rsid w:val="68981FA9"/>
    <w:rsid w:val="68E272A3"/>
    <w:rsid w:val="68EE7135"/>
    <w:rsid w:val="693A17B3"/>
    <w:rsid w:val="694D731F"/>
    <w:rsid w:val="69D4612E"/>
    <w:rsid w:val="69FD4F9F"/>
    <w:rsid w:val="6A306848"/>
    <w:rsid w:val="6A48066B"/>
    <w:rsid w:val="6A8739D3"/>
    <w:rsid w:val="6A9F68FE"/>
    <w:rsid w:val="6B28355C"/>
    <w:rsid w:val="6B40098D"/>
    <w:rsid w:val="6B665D8D"/>
    <w:rsid w:val="6BDA0E02"/>
    <w:rsid w:val="6BF95E33"/>
    <w:rsid w:val="6C030941"/>
    <w:rsid w:val="6C2B298A"/>
    <w:rsid w:val="6C9F7F81"/>
    <w:rsid w:val="6CB07B60"/>
    <w:rsid w:val="6CE372A6"/>
    <w:rsid w:val="6CFD7B29"/>
    <w:rsid w:val="6DDB5FC9"/>
    <w:rsid w:val="6DE40C33"/>
    <w:rsid w:val="6DFA687D"/>
    <w:rsid w:val="6E2B704C"/>
    <w:rsid w:val="6E4459F8"/>
    <w:rsid w:val="6E9375A1"/>
    <w:rsid w:val="6EE874C4"/>
    <w:rsid w:val="6F4C29A7"/>
    <w:rsid w:val="6F734DE5"/>
    <w:rsid w:val="6F9D7502"/>
    <w:rsid w:val="6FA522A5"/>
    <w:rsid w:val="6FCF76FD"/>
    <w:rsid w:val="6FE67322"/>
    <w:rsid w:val="6FF675BD"/>
    <w:rsid w:val="70196878"/>
    <w:rsid w:val="704354BE"/>
    <w:rsid w:val="7063216F"/>
    <w:rsid w:val="70761190"/>
    <w:rsid w:val="708C3C73"/>
    <w:rsid w:val="70A409DA"/>
    <w:rsid w:val="7165689A"/>
    <w:rsid w:val="71770297"/>
    <w:rsid w:val="717E737E"/>
    <w:rsid w:val="71D578DE"/>
    <w:rsid w:val="71FD6CA3"/>
    <w:rsid w:val="723F3FFF"/>
    <w:rsid w:val="72625139"/>
    <w:rsid w:val="726D5403"/>
    <w:rsid w:val="72752E54"/>
    <w:rsid w:val="72DC3AFD"/>
    <w:rsid w:val="72E37B3C"/>
    <w:rsid w:val="73222633"/>
    <w:rsid w:val="7328617A"/>
    <w:rsid w:val="737F790A"/>
    <w:rsid w:val="73EE04C2"/>
    <w:rsid w:val="74042F6D"/>
    <w:rsid w:val="74D015DB"/>
    <w:rsid w:val="75247DBC"/>
    <w:rsid w:val="7565655C"/>
    <w:rsid w:val="75795053"/>
    <w:rsid w:val="760D23F9"/>
    <w:rsid w:val="762D2F6F"/>
    <w:rsid w:val="76910A96"/>
    <w:rsid w:val="76AA163F"/>
    <w:rsid w:val="76AD4D0C"/>
    <w:rsid w:val="76DB1E0E"/>
    <w:rsid w:val="77476F3F"/>
    <w:rsid w:val="77EC5F3A"/>
    <w:rsid w:val="783720CB"/>
    <w:rsid w:val="784D67ED"/>
    <w:rsid w:val="78555DF8"/>
    <w:rsid w:val="78DE02DA"/>
    <w:rsid w:val="78DE6B63"/>
    <w:rsid w:val="79326A03"/>
    <w:rsid w:val="793C35BB"/>
    <w:rsid w:val="79822FE7"/>
    <w:rsid w:val="79BC316C"/>
    <w:rsid w:val="79E01712"/>
    <w:rsid w:val="7A377612"/>
    <w:rsid w:val="7AC66145"/>
    <w:rsid w:val="7AF3437A"/>
    <w:rsid w:val="7B690C89"/>
    <w:rsid w:val="7BCF062D"/>
    <w:rsid w:val="7BD62F0E"/>
    <w:rsid w:val="7C0C0492"/>
    <w:rsid w:val="7C2C67C8"/>
    <w:rsid w:val="7C2D13B7"/>
    <w:rsid w:val="7C376B38"/>
    <w:rsid w:val="7C705363"/>
    <w:rsid w:val="7C805752"/>
    <w:rsid w:val="7CC2473D"/>
    <w:rsid w:val="7CC44208"/>
    <w:rsid w:val="7D0719AF"/>
    <w:rsid w:val="7D274150"/>
    <w:rsid w:val="7D3E3E95"/>
    <w:rsid w:val="7D474996"/>
    <w:rsid w:val="7D581AD7"/>
    <w:rsid w:val="7D78481D"/>
    <w:rsid w:val="7DAE1EBA"/>
    <w:rsid w:val="7DF63568"/>
    <w:rsid w:val="7E2C5B75"/>
    <w:rsid w:val="7E8E441D"/>
    <w:rsid w:val="7E994343"/>
    <w:rsid w:val="7EA52354"/>
    <w:rsid w:val="7EA81866"/>
    <w:rsid w:val="7ECA4B12"/>
    <w:rsid w:val="7ECB6D11"/>
    <w:rsid w:val="7EE11BC0"/>
    <w:rsid w:val="7EE47B3C"/>
    <w:rsid w:val="7EF870A3"/>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4"/>
    <w:next w:val="1"/>
    <w:link w:val="95"/>
    <w:qFormat/>
    <w:uiPriority w:val="0"/>
    <w:pPr>
      <w:keepNext/>
      <w:tabs>
        <w:tab w:val="center" w:pos="4536"/>
        <w:tab w:val="right" w:pos="9072"/>
      </w:tabs>
      <w:spacing w:before="360" w:after="120"/>
      <w:outlineLvl w:val="0"/>
    </w:pPr>
    <w:rPr>
      <w:rFonts w:eastAsia="宋体" w:cs="Arial"/>
      <w:bCs/>
      <w:kern w:val="32"/>
      <w:sz w:val="28"/>
      <w:szCs w:val="32"/>
    </w:rPr>
  </w:style>
  <w:style w:type="paragraph" w:styleId="5">
    <w:name w:val="heading 2"/>
    <w:basedOn w:val="3"/>
    <w:next w:val="1"/>
    <w:link w:val="96"/>
    <w:qFormat/>
    <w:uiPriority w:val="0"/>
    <w:pPr>
      <w:spacing w:before="240" w:after="60"/>
      <w:outlineLvl w:val="1"/>
    </w:pPr>
    <w:rPr>
      <w:rFonts w:eastAsia="MS Mincho"/>
      <w:iCs/>
      <w:kern w:val="0"/>
      <w:sz w:val="20"/>
      <w:szCs w:val="28"/>
    </w:rPr>
  </w:style>
  <w:style w:type="paragraph" w:styleId="6">
    <w:name w:val="heading 3"/>
    <w:basedOn w:val="5"/>
    <w:next w:val="1"/>
    <w:link w:val="97"/>
    <w:qFormat/>
    <w:uiPriority w:val="0"/>
    <w:pPr>
      <w:tabs>
        <w:tab w:val="left" w:pos="-5500"/>
      </w:tabs>
      <w:outlineLvl w:val="2"/>
    </w:pPr>
    <w:rPr>
      <w:sz w:val="26"/>
      <w:szCs w:val="26"/>
    </w:rPr>
  </w:style>
  <w:style w:type="paragraph" w:styleId="7">
    <w:name w:val="heading 4"/>
    <w:basedOn w:val="6"/>
    <w:next w:val="1"/>
    <w:link w:val="98"/>
    <w:qFormat/>
    <w:uiPriority w:val="0"/>
    <w:pPr>
      <w:outlineLvl w:val="3"/>
    </w:pPr>
    <w:rPr>
      <w:rFonts w:ascii="CG Times (WN)" w:hAnsi="CG Times (WN)" w:cs="Times New Roman"/>
      <w:sz w:val="28"/>
      <w:szCs w:val="28"/>
    </w:rPr>
  </w:style>
  <w:style w:type="paragraph" w:styleId="8">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9">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10">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1">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2">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13">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4">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5">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6">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7">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8">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9">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20">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1">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2">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3">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4">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5">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6">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7">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8">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9">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30">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1">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2">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3">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4">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5">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6">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9">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40">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1">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2">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3">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4">
    <w:name w:val="toc 5"/>
    <w:basedOn w:val="45"/>
    <w:next w:val="1"/>
    <w:qFormat/>
    <w:uiPriority w:val="0"/>
    <w:pPr>
      <w:tabs>
        <w:tab w:val="right" w:leader="dot" w:pos="9639"/>
      </w:tabs>
      <w:ind w:left="1701" w:hanging="1701"/>
    </w:pPr>
  </w:style>
  <w:style w:type="paragraph" w:styleId="45">
    <w:name w:val="toc 4"/>
    <w:basedOn w:val="46"/>
    <w:next w:val="1"/>
    <w:qFormat/>
    <w:uiPriority w:val="0"/>
    <w:pPr>
      <w:tabs>
        <w:tab w:val="right" w:leader="dot" w:pos="9639"/>
      </w:tabs>
      <w:ind w:left="1418" w:hanging="1418"/>
    </w:pPr>
  </w:style>
  <w:style w:type="paragraph" w:styleId="46">
    <w:name w:val="toc 3"/>
    <w:basedOn w:val="47"/>
    <w:next w:val="1"/>
    <w:qFormat/>
    <w:uiPriority w:val="0"/>
    <w:pPr>
      <w:tabs>
        <w:tab w:val="right" w:leader="dot" w:pos="9639"/>
      </w:tabs>
      <w:ind w:left="1134" w:hanging="1134"/>
    </w:pPr>
  </w:style>
  <w:style w:type="paragraph" w:styleId="47">
    <w:name w:val="toc 2"/>
    <w:basedOn w:val="48"/>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9">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50">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1">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2">
    <w:name w:val="toc 8"/>
    <w:basedOn w:val="48"/>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4">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5">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6">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7">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8">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9">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4"/>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2"/>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8"/>
    <w:next w:val="28"/>
    <w:link w:val="133"/>
    <w:qFormat/>
    <w:uiPriority w:val="0"/>
    <w:rPr>
      <w:b/>
      <w:bCs/>
    </w:rPr>
  </w:style>
  <w:style w:type="paragraph" w:styleId="84">
    <w:name w:val="Body Text First Indent"/>
    <w:basedOn w:val="34"/>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5"/>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5"/>
    <w:qFormat/>
    <w:uiPriority w:val="0"/>
    <w:rPr>
      <w:rFonts w:ascii="Arial" w:hAnsi="Arial" w:eastAsia="MS Mincho" w:cs="Arial"/>
      <w:b/>
      <w:bCs/>
      <w:iCs/>
      <w:kern w:val="0"/>
      <w:sz w:val="20"/>
      <w:szCs w:val="28"/>
    </w:rPr>
  </w:style>
  <w:style w:type="character" w:customStyle="1" w:styleId="97">
    <w:name w:val="标题 3 字符"/>
    <w:basedOn w:val="88"/>
    <w:link w:val="6"/>
    <w:qFormat/>
    <w:uiPriority w:val="0"/>
    <w:rPr>
      <w:rFonts w:ascii="Arial" w:hAnsi="Arial" w:eastAsia="MS Mincho" w:cs="Arial"/>
      <w:bCs/>
      <w:kern w:val="0"/>
      <w:sz w:val="26"/>
      <w:szCs w:val="26"/>
      <w:lang w:eastAsia="en-US"/>
    </w:rPr>
  </w:style>
  <w:style w:type="character" w:customStyle="1" w:styleId="98">
    <w:name w:val="标题 4 字符"/>
    <w:basedOn w:val="88"/>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9"/>
    <w:qFormat/>
    <w:uiPriority w:val="0"/>
    <w:rPr>
      <w:rFonts w:ascii="Arial" w:hAnsi="Arial" w:eastAsia="黑体" w:cs="Times New Roman"/>
      <w:b/>
      <w:bCs/>
      <w:kern w:val="0"/>
      <w:sz w:val="24"/>
      <w:szCs w:val="24"/>
      <w:lang w:eastAsia="en-US"/>
    </w:rPr>
  </w:style>
  <w:style w:type="character" w:customStyle="1" w:styleId="101">
    <w:name w:val="标题 7 字符"/>
    <w:basedOn w:val="88"/>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1"/>
    <w:qFormat/>
    <w:uiPriority w:val="0"/>
    <w:rPr>
      <w:rFonts w:ascii="Arial" w:hAnsi="Arial" w:eastAsia="黑体" w:cs="Times New Roman"/>
      <w:kern w:val="0"/>
      <w:sz w:val="24"/>
      <w:szCs w:val="24"/>
      <w:lang w:eastAsia="en-US"/>
    </w:rPr>
  </w:style>
  <w:style w:type="character" w:customStyle="1" w:styleId="103">
    <w:name w:val="标题 9 字符"/>
    <w:basedOn w:val="88"/>
    <w:link w:val="12"/>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4"/>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7"/>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20"/>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6"/>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7"/>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30"/>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1"/>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2"/>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5"/>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2"/>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9"/>
    <w:qFormat/>
    <w:uiPriority w:val="0"/>
    <w:rPr>
      <w:rFonts w:ascii="Consolas" w:hAnsi="Consolas" w:eastAsia="MS Mincho" w:cs="Times New Roman"/>
      <w:kern w:val="0"/>
      <w:szCs w:val="21"/>
      <w:lang w:val="en-GB" w:eastAsia="en-US"/>
    </w:rPr>
  </w:style>
  <w:style w:type="character" w:customStyle="1" w:styleId="118">
    <w:name w:val="日期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6"/>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8"/>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9"/>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60"/>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4"/>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8"/>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7"/>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3"/>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8"/>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4"/>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4"/>
    <w:qFormat/>
    <w:uiPriority w:val="0"/>
    <w:pPr>
      <w:numPr>
        <w:ilvl w:val="0"/>
        <w:numId w:val="14"/>
      </w:numPr>
      <w:tabs>
        <w:tab w:val="left" w:pos="567"/>
      </w:tabs>
      <w:spacing w:before="240"/>
      <w:ind w:left="357" w:hanging="357"/>
      <w:jc w:val="both"/>
    </w:pPr>
    <w:rPr>
      <w:rFonts w:eastAsia="Batang" w:cs="Times New Roman"/>
      <w:bCs w:val="0"/>
      <w:kern w:val="28"/>
      <w:sz w:val="24"/>
      <w:szCs w:val="20"/>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4"/>
    <w:next w:val="34"/>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40"/>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列表段落"/>
    <w:basedOn w:val="1"/>
    <w:link w:val="286"/>
    <w:qFormat/>
    <w:uiPriority w:val="0"/>
    <w:pPr>
      <w:widowControl/>
      <w:ind w:firstLine="420"/>
      <w:jc w:val="left"/>
    </w:pPr>
    <w:rPr>
      <w:rFonts w:ascii="Calibri" w:hAnsi="Calibri" w:eastAsia="Calibri" w:cs="Times New Roman"/>
      <w:kern w:val="0"/>
      <w:sz w:val="22"/>
    </w:rPr>
  </w:style>
  <w:style w:type="character" w:customStyle="1" w:styleId="286">
    <w:name w:val="列表段落 字符2"/>
    <w:basedOn w:val="88"/>
    <w:link w:val="285"/>
    <w:qFormat/>
    <w:uiPriority w:val="0"/>
    <w:rPr>
      <w:rFonts w:hint="default" w:ascii="Calibri" w:hAnsi="Calibri" w:eastAsia="Calibri" w:cs="Calibri"/>
    </w:rPr>
  </w:style>
  <w:style w:type="character" w:customStyle="1" w:styleId="287">
    <w:name w:val="列表段落 字符4"/>
    <w:basedOn w:val="88"/>
    <w:link w:val="288"/>
    <w:qFormat/>
    <w:uiPriority w:val="0"/>
    <w:rPr>
      <w:rFonts w:hint="default" w:ascii="Calibri" w:hAnsi="Calibri" w:eastAsia="Calibri" w:cs="Calibri"/>
    </w:rPr>
  </w:style>
  <w:style w:type="paragraph" w:customStyle="1" w:styleId="288">
    <w:name w:val="列表段落6"/>
    <w:basedOn w:val="1"/>
    <w:link w:val="287"/>
    <w:qFormat/>
    <w:uiPriority w:val="0"/>
    <w:pPr>
      <w:widowControl/>
      <w:ind w:firstLine="420"/>
      <w:jc w:val="left"/>
    </w:pPr>
    <w:rPr>
      <w:rFonts w:ascii="Calibri" w:hAnsi="Calibri" w:eastAsia="Calibri" w:cs="Times New Roman"/>
      <w:kern w:val="0"/>
      <w:sz w:val="22"/>
    </w:rPr>
  </w:style>
  <w:style w:type="character" w:customStyle="1" w:styleId="289">
    <w:name w:val="题注 字符2"/>
    <w:basedOn w:val="88"/>
    <w:qFormat/>
    <w:uiPriority w:val="0"/>
    <w:rPr>
      <w:rFonts w:hint="eastAsia" w:ascii="宋体" w:hAnsi="宋体" w:eastAsia="宋体" w:cs="Times New Roman"/>
      <w:sz w:val="24"/>
      <w:szCs w:val="20"/>
      <w:lang w:val="en-US"/>
    </w:rPr>
  </w:style>
  <w:style w:type="paragraph" w:customStyle="1" w:styleId="290">
    <w:name w:val="Proposal-HW"/>
    <w:basedOn w:val="1"/>
    <w:qFormat/>
    <w:uiPriority w:val="0"/>
    <w:pPr>
      <w:ind w:left="1273" w:right="2" w:hanging="1273" w:hangingChars="634"/>
    </w:pPr>
    <w:rPr>
      <w:b/>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99E94280-24A1-40B6-B1A2-A9234A730614}">
  <ds:schemaRefs/>
</ds:datastoreItem>
</file>

<file path=docProps/app.xml><?xml version="1.0" encoding="utf-8"?>
<Properties xmlns="http://schemas.openxmlformats.org/officeDocument/2006/extended-properties" xmlns:vt="http://schemas.openxmlformats.org/officeDocument/2006/docPropsVTypes">
  <Template>Normal</Template>
  <Pages>4</Pages>
  <Words>1555</Words>
  <Characters>8870</Characters>
  <Lines>73</Lines>
  <Paragraphs>20</Paragraphs>
  <TotalTime>3</TotalTime>
  <ScaleCrop>false</ScaleCrop>
  <LinksUpToDate>false</LinksUpToDate>
  <CharactersWithSpaces>10405</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2025-03-28T01:43:00Z</dcterms:created>
  <dc:creator>Kai Wu(vivo)</dc:creator>
  <cp:lastModifiedBy>HP</cp:lastModifiedBy>
  <dcterms:modified xsi:type="dcterms:W3CDTF">2025-03-28T02:19:05Z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27B7249022024BA99EEF0E549EDFBB45_13</vt:lpwstr>
  </property>
</Properties>
</file>